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EFFD8" w14:textId="0B5D1D74" w:rsidR="00F250DE" w:rsidRDefault="00F03503">
      <w:r>
        <w:rPr>
          <w:noProof/>
        </w:rPr>
        <w:drawing>
          <wp:anchor distT="0" distB="0" distL="114300" distR="114300" simplePos="0" relativeHeight="251658240" behindDoc="0" locked="0" layoutInCell="1" allowOverlap="1" wp14:anchorId="6B4D6CAD" wp14:editId="09F00EDA">
            <wp:simplePos x="0" y="0"/>
            <wp:positionH relativeFrom="page">
              <wp:align>left</wp:align>
            </wp:positionH>
            <wp:positionV relativeFrom="paragraph">
              <wp:posOffset>-1090295</wp:posOffset>
            </wp:positionV>
            <wp:extent cx="7562850" cy="10859135"/>
            <wp:effectExtent l="0" t="0" r="0" b="0"/>
            <wp:wrapNone/>
            <wp:docPr id="14087488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0859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ECCA2" w14:textId="77777777" w:rsidR="00AD50FC" w:rsidRDefault="00AD50FC"/>
    <w:p w14:paraId="5A40B204" w14:textId="3746F48C" w:rsidR="00AD50FC" w:rsidRDefault="00AD50FC" w:rsidP="00AD50FC">
      <w:pPr>
        <w:pStyle w:val="NormalWeb"/>
      </w:pPr>
    </w:p>
    <w:p w14:paraId="5BF2E08D" w14:textId="77777777" w:rsidR="00AD50FC" w:rsidRDefault="00AD50FC"/>
    <w:p w14:paraId="26EB763F" w14:textId="77777777" w:rsidR="00AD50FC" w:rsidRDefault="00AD50FC"/>
    <w:p w14:paraId="2FC55E8C" w14:textId="77777777" w:rsidR="00AD50FC" w:rsidRDefault="00AD50FC"/>
    <w:p w14:paraId="52C87EEB" w14:textId="77777777" w:rsidR="00AD50FC" w:rsidRDefault="00AD50FC"/>
    <w:p w14:paraId="26C98A0A" w14:textId="77777777" w:rsidR="00AD50FC" w:rsidRDefault="00AD50FC"/>
    <w:p w14:paraId="40F918B0" w14:textId="77777777" w:rsidR="00AD50FC" w:rsidRDefault="00AD50FC"/>
    <w:p w14:paraId="1C8B3836" w14:textId="77777777" w:rsidR="00AD50FC" w:rsidRDefault="00AD50FC"/>
    <w:p w14:paraId="016CE123" w14:textId="77777777" w:rsidR="00AD50FC" w:rsidRDefault="00AD50FC"/>
    <w:p w14:paraId="78D14B79" w14:textId="77777777" w:rsidR="00AD50FC" w:rsidRDefault="00AD50FC"/>
    <w:p w14:paraId="68AE6466" w14:textId="77777777" w:rsidR="00AD50FC" w:rsidRDefault="00AD50FC"/>
    <w:p w14:paraId="2F679307" w14:textId="77777777" w:rsidR="00AD50FC" w:rsidRDefault="00AD50FC"/>
    <w:p w14:paraId="593CFBC5" w14:textId="77777777" w:rsidR="00AD50FC" w:rsidRDefault="00AD50FC"/>
    <w:p w14:paraId="1DB42A00" w14:textId="77777777" w:rsidR="00AD50FC" w:rsidRDefault="00AD50FC"/>
    <w:p w14:paraId="7F1DDFF6" w14:textId="77777777" w:rsidR="00AD50FC" w:rsidRDefault="00AD50FC"/>
    <w:p w14:paraId="1D7BD183" w14:textId="77777777" w:rsidR="00AD50FC" w:rsidRDefault="00AD50FC"/>
    <w:p w14:paraId="4599422D" w14:textId="77777777" w:rsidR="00AD50FC" w:rsidRDefault="00AD50FC"/>
    <w:p w14:paraId="6529D214" w14:textId="77777777" w:rsidR="00AD50FC" w:rsidRDefault="00AD50FC"/>
    <w:p w14:paraId="48FF10EA" w14:textId="77777777" w:rsidR="00AD50FC" w:rsidRDefault="00AD50FC"/>
    <w:p w14:paraId="29F72AE4" w14:textId="77777777" w:rsidR="00AD50FC" w:rsidRDefault="00AD50FC"/>
    <w:p w14:paraId="35640825" w14:textId="77777777" w:rsidR="00AD50FC" w:rsidRDefault="00AD50FC"/>
    <w:p w14:paraId="665C75AD" w14:textId="77777777" w:rsidR="00AD50FC" w:rsidRDefault="00AD50FC"/>
    <w:p w14:paraId="272C6A81" w14:textId="77777777" w:rsidR="00AD50FC" w:rsidRDefault="00AD50FC"/>
    <w:p w14:paraId="5E82FE6C" w14:textId="77777777" w:rsidR="00AD50FC" w:rsidRDefault="00AD50FC"/>
    <w:p w14:paraId="34CF29D8" w14:textId="77777777" w:rsidR="00AD50FC" w:rsidRDefault="00AD50FC"/>
    <w:p w14:paraId="08CD553D" w14:textId="77777777" w:rsidR="005965D1" w:rsidRDefault="005965D1" w:rsidP="005965D1">
      <w:pPr>
        <w:pStyle w:val="FCsubtitle"/>
        <w:jc w:val="center"/>
        <w:rPr>
          <w:b/>
          <w:bCs/>
        </w:rPr>
      </w:pPr>
    </w:p>
    <w:p w14:paraId="475CB6B4" w14:textId="37F3388D" w:rsidR="005965D1" w:rsidRPr="005965D1" w:rsidRDefault="005965D1" w:rsidP="005965D1">
      <w:pPr>
        <w:pStyle w:val="FCsubtitle"/>
        <w:jc w:val="center"/>
        <w:rPr>
          <w:b/>
          <w:bCs/>
        </w:rPr>
      </w:pPr>
      <w:r w:rsidRPr="005965D1">
        <w:rPr>
          <w:b/>
          <w:bCs/>
        </w:rPr>
        <w:t>TERMS OF REFERENCE</w:t>
      </w:r>
    </w:p>
    <w:p w14:paraId="44B4811D" w14:textId="5BCA0CD3" w:rsidR="007D4F03" w:rsidRDefault="00FA7E0E" w:rsidP="00D665E0">
      <w:pPr>
        <w:spacing w:before="240"/>
        <w:jc w:val="center"/>
        <w:rPr>
          <w:b/>
          <w:bCs/>
          <w:lang w:val="en-US"/>
        </w:rPr>
      </w:pPr>
      <w:r>
        <w:rPr>
          <w:b/>
          <w:bCs/>
          <w:lang w:val="en-US"/>
        </w:rPr>
        <w:t>GLOBAL MEDIA DEFENCE FUND</w:t>
      </w:r>
    </w:p>
    <w:p w14:paraId="6FC835BB" w14:textId="77777777" w:rsidR="00BE581F" w:rsidRDefault="00FA7E0E" w:rsidP="00C65956">
      <w:pPr>
        <w:spacing w:before="240"/>
        <w:jc w:val="center"/>
        <w:rPr>
          <w:b/>
          <w:bCs/>
          <w:lang w:val="en-US"/>
        </w:rPr>
      </w:pPr>
      <w:r>
        <w:rPr>
          <w:b/>
          <w:bCs/>
          <w:lang w:val="en-US"/>
        </w:rPr>
        <w:t>THEMATIC CALL FOR PARTNERSHIPS</w:t>
      </w:r>
      <w:r w:rsidR="00107663">
        <w:rPr>
          <w:b/>
          <w:bCs/>
          <w:lang w:val="en-US"/>
        </w:rPr>
        <w:t>:</w:t>
      </w:r>
      <w:r w:rsidR="00C65956">
        <w:rPr>
          <w:b/>
          <w:bCs/>
          <w:lang w:val="en-US"/>
        </w:rPr>
        <w:t xml:space="preserve"> </w:t>
      </w:r>
    </w:p>
    <w:p w14:paraId="1C6A740F" w14:textId="3B06E04F" w:rsidR="002428CD" w:rsidRPr="00107663" w:rsidRDefault="005E7698" w:rsidP="005E7698">
      <w:pPr>
        <w:spacing w:before="240"/>
        <w:jc w:val="center"/>
        <w:rPr>
          <w:b/>
          <w:bCs/>
          <w:lang w:val="en-US"/>
        </w:rPr>
      </w:pPr>
      <w:r>
        <w:rPr>
          <w:b/>
          <w:bCs/>
          <w:lang w:val="en-US"/>
        </w:rPr>
        <w:t>DEFENDING ENVIRONMENTAL JOURNALISM</w:t>
      </w:r>
    </w:p>
    <w:p w14:paraId="0E814481" w14:textId="2EDCAFC8" w:rsidR="00C20F8E" w:rsidRDefault="00C20F8E">
      <w:pPr>
        <w:rPr>
          <w:lang w:val="en-US"/>
        </w:rPr>
      </w:pPr>
    </w:p>
    <w:p w14:paraId="1B7B4B88" w14:textId="1369A010" w:rsidR="00C20F8E" w:rsidRPr="007A0968" w:rsidRDefault="00C20F8E">
      <w:pPr>
        <w:rPr>
          <w:b/>
          <w:bCs/>
          <w:sz w:val="22"/>
          <w:szCs w:val="22"/>
          <w:lang w:val="en-US"/>
        </w:rPr>
      </w:pPr>
      <w:r w:rsidRPr="007A0968">
        <w:rPr>
          <w:b/>
          <w:bCs/>
          <w:sz w:val="22"/>
          <w:szCs w:val="22"/>
          <w:lang w:val="en-US"/>
        </w:rPr>
        <w:t>INDEX:</w:t>
      </w:r>
    </w:p>
    <w:p w14:paraId="74730B9B" w14:textId="5FF4F4BD" w:rsidR="00C20F8E" w:rsidRPr="007A0968" w:rsidRDefault="007A0968" w:rsidP="00176EFA">
      <w:pPr>
        <w:pStyle w:val="ListParagraph"/>
        <w:numPr>
          <w:ilvl w:val="0"/>
          <w:numId w:val="3"/>
        </w:numPr>
        <w:spacing w:line="360" w:lineRule="auto"/>
        <w:rPr>
          <w:sz w:val="22"/>
          <w:szCs w:val="22"/>
          <w:lang w:val="en-US"/>
        </w:rPr>
      </w:pPr>
      <w:r w:rsidRPr="007A0968">
        <w:rPr>
          <w:sz w:val="22"/>
          <w:szCs w:val="22"/>
          <w:lang w:val="en-US"/>
        </w:rPr>
        <w:t>The Global Media Defence Fund</w:t>
      </w:r>
    </w:p>
    <w:p w14:paraId="519E89F7" w14:textId="684DC806" w:rsidR="007A0968" w:rsidRDefault="007A0968" w:rsidP="00176EFA">
      <w:pPr>
        <w:pStyle w:val="ListParagraph"/>
        <w:numPr>
          <w:ilvl w:val="0"/>
          <w:numId w:val="3"/>
        </w:numPr>
        <w:spacing w:line="360" w:lineRule="auto"/>
        <w:rPr>
          <w:sz w:val="22"/>
          <w:szCs w:val="22"/>
          <w:lang w:val="en-US"/>
        </w:rPr>
      </w:pPr>
      <w:r w:rsidRPr="007A0968">
        <w:rPr>
          <w:sz w:val="22"/>
          <w:szCs w:val="22"/>
          <w:lang w:val="en-US"/>
        </w:rPr>
        <w:t>Actions supported under this Thematic Call</w:t>
      </w:r>
    </w:p>
    <w:p w14:paraId="570F42E0" w14:textId="0B7035A6" w:rsidR="007A0968" w:rsidRDefault="007A0968" w:rsidP="00176EFA">
      <w:pPr>
        <w:pStyle w:val="ListParagraph"/>
        <w:numPr>
          <w:ilvl w:val="0"/>
          <w:numId w:val="3"/>
        </w:numPr>
        <w:spacing w:line="360" w:lineRule="auto"/>
        <w:rPr>
          <w:sz w:val="22"/>
          <w:szCs w:val="22"/>
          <w:lang w:val="en-US"/>
        </w:rPr>
      </w:pPr>
      <w:r>
        <w:rPr>
          <w:sz w:val="22"/>
          <w:szCs w:val="22"/>
          <w:lang w:val="en-US"/>
        </w:rPr>
        <w:t>Admissibility and Eligibility Criteria</w:t>
      </w:r>
    </w:p>
    <w:p w14:paraId="67B5BBA6" w14:textId="1E626C12" w:rsidR="007A0968" w:rsidRDefault="007A0968" w:rsidP="00176EFA">
      <w:pPr>
        <w:pStyle w:val="ListParagraph"/>
        <w:numPr>
          <w:ilvl w:val="0"/>
          <w:numId w:val="3"/>
        </w:numPr>
        <w:spacing w:line="360" w:lineRule="auto"/>
        <w:rPr>
          <w:sz w:val="22"/>
          <w:szCs w:val="22"/>
          <w:lang w:val="en-US"/>
        </w:rPr>
      </w:pPr>
      <w:r w:rsidRPr="007A0968">
        <w:rPr>
          <w:sz w:val="22"/>
          <w:szCs w:val="22"/>
          <w:lang w:val="en-US"/>
        </w:rPr>
        <w:t>Indicative Budget available for th</w:t>
      </w:r>
      <w:r>
        <w:rPr>
          <w:sz w:val="22"/>
          <w:szCs w:val="22"/>
          <w:lang w:val="en-US"/>
        </w:rPr>
        <w:t>is Call</w:t>
      </w:r>
    </w:p>
    <w:p w14:paraId="532DD538" w14:textId="497A9C45" w:rsidR="007A0968" w:rsidRDefault="007A0968" w:rsidP="00176EFA">
      <w:pPr>
        <w:pStyle w:val="ListParagraph"/>
        <w:numPr>
          <w:ilvl w:val="0"/>
          <w:numId w:val="3"/>
        </w:numPr>
        <w:spacing w:line="360" w:lineRule="auto"/>
        <w:rPr>
          <w:sz w:val="22"/>
          <w:szCs w:val="22"/>
          <w:lang w:val="en-US"/>
        </w:rPr>
      </w:pPr>
      <w:r>
        <w:rPr>
          <w:sz w:val="22"/>
          <w:szCs w:val="22"/>
          <w:lang w:val="en-US"/>
        </w:rPr>
        <w:t>Evaluation and Selection Process</w:t>
      </w:r>
    </w:p>
    <w:p w14:paraId="00404A08" w14:textId="1F992344" w:rsidR="007A0968" w:rsidRDefault="007A0968" w:rsidP="00176EFA">
      <w:pPr>
        <w:pStyle w:val="ListParagraph"/>
        <w:numPr>
          <w:ilvl w:val="0"/>
          <w:numId w:val="3"/>
        </w:numPr>
        <w:spacing w:line="360" w:lineRule="auto"/>
        <w:rPr>
          <w:sz w:val="22"/>
          <w:szCs w:val="22"/>
          <w:lang w:val="en-US"/>
        </w:rPr>
      </w:pPr>
      <w:r>
        <w:rPr>
          <w:sz w:val="22"/>
          <w:szCs w:val="22"/>
          <w:lang w:val="en-US"/>
        </w:rPr>
        <w:t xml:space="preserve">Contracting Process and </w:t>
      </w:r>
      <w:r w:rsidR="00176EFA">
        <w:rPr>
          <w:sz w:val="22"/>
          <w:szCs w:val="22"/>
          <w:lang w:val="en-US"/>
        </w:rPr>
        <w:t>Project Implementation</w:t>
      </w:r>
    </w:p>
    <w:p w14:paraId="57D95122" w14:textId="6AC29648" w:rsidR="00176EFA" w:rsidRPr="007A0968" w:rsidRDefault="00176EFA" w:rsidP="00176EFA">
      <w:pPr>
        <w:pStyle w:val="ListParagraph"/>
        <w:numPr>
          <w:ilvl w:val="0"/>
          <w:numId w:val="3"/>
        </w:numPr>
        <w:spacing w:line="360" w:lineRule="auto"/>
        <w:rPr>
          <w:sz w:val="22"/>
          <w:szCs w:val="22"/>
          <w:lang w:val="en-US"/>
        </w:rPr>
      </w:pPr>
      <w:r>
        <w:rPr>
          <w:sz w:val="22"/>
          <w:szCs w:val="22"/>
          <w:lang w:val="en-US"/>
        </w:rPr>
        <w:t>Submission of Partnership Proposals</w:t>
      </w:r>
    </w:p>
    <w:p w14:paraId="43A53E0A" w14:textId="77777777" w:rsidR="00C20F8E" w:rsidRPr="007A0968" w:rsidRDefault="00C20F8E" w:rsidP="00176EFA">
      <w:pPr>
        <w:spacing w:line="360" w:lineRule="auto"/>
        <w:rPr>
          <w:lang w:val="en-US"/>
        </w:rPr>
      </w:pPr>
    </w:p>
    <w:p w14:paraId="6D73BD9C" w14:textId="77777777" w:rsidR="00C20F8E" w:rsidRPr="007A0968" w:rsidRDefault="00C20F8E">
      <w:pPr>
        <w:rPr>
          <w:lang w:val="en-US"/>
        </w:rPr>
      </w:pPr>
    </w:p>
    <w:p w14:paraId="41D73617" w14:textId="77777777" w:rsidR="00C20F8E" w:rsidRPr="007A0968" w:rsidRDefault="00C20F8E">
      <w:pPr>
        <w:rPr>
          <w:lang w:val="en-US"/>
        </w:rPr>
      </w:pPr>
    </w:p>
    <w:p w14:paraId="38CF00F8" w14:textId="77777777" w:rsidR="00C20F8E" w:rsidRPr="007A0968" w:rsidRDefault="00C20F8E">
      <w:pPr>
        <w:rPr>
          <w:lang w:val="en-US"/>
        </w:rPr>
      </w:pPr>
    </w:p>
    <w:p w14:paraId="53CB16B9" w14:textId="77777777" w:rsidR="00C20F8E" w:rsidRPr="007A0968" w:rsidRDefault="00C20F8E">
      <w:pPr>
        <w:rPr>
          <w:lang w:val="en-US"/>
        </w:rPr>
      </w:pPr>
    </w:p>
    <w:p w14:paraId="23D73972" w14:textId="77777777" w:rsidR="00C20F8E" w:rsidRPr="007A0968" w:rsidRDefault="00C20F8E">
      <w:pPr>
        <w:rPr>
          <w:lang w:val="en-US"/>
        </w:rPr>
      </w:pPr>
    </w:p>
    <w:p w14:paraId="72EF0C68" w14:textId="77777777" w:rsidR="00C20F8E" w:rsidRPr="007A0968" w:rsidRDefault="00C20F8E">
      <w:pPr>
        <w:rPr>
          <w:lang w:val="en-US"/>
        </w:rPr>
      </w:pPr>
    </w:p>
    <w:p w14:paraId="61199877" w14:textId="77777777" w:rsidR="00C20F8E" w:rsidRPr="007A0968" w:rsidRDefault="00C20F8E">
      <w:pPr>
        <w:rPr>
          <w:lang w:val="en-US"/>
        </w:rPr>
      </w:pPr>
    </w:p>
    <w:p w14:paraId="0D880ED4" w14:textId="77777777" w:rsidR="00C20F8E" w:rsidRPr="007A0968" w:rsidRDefault="00C20F8E">
      <w:pPr>
        <w:rPr>
          <w:lang w:val="en-US"/>
        </w:rPr>
      </w:pPr>
    </w:p>
    <w:p w14:paraId="1654BF90" w14:textId="77777777" w:rsidR="00C20F8E" w:rsidRPr="007A0968" w:rsidRDefault="00C20F8E">
      <w:pPr>
        <w:rPr>
          <w:lang w:val="en-US"/>
        </w:rPr>
      </w:pPr>
    </w:p>
    <w:p w14:paraId="29C3E164" w14:textId="77777777" w:rsidR="00C20F8E" w:rsidRPr="007A0968" w:rsidRDefault="00C20F8E">
      <w:pPr>
        <w:rPr>
          <w:lang w:val="en-US"/>
        </w:rPr>
      </w:pPr>
    </w:p>
    <w:p w14:paraId="5902B6A7" w14:textId="77777777" w:rsidR="00C20F8E" w:rsidRPr="007A0968" w:rsidRDefault="00C20F8E">
      <w:pPr>
        <w:rPr>
          <w:lang w:val="en-US"/>
        </w:rPr>
      </w:pPr>
    </w:p>
    <w:p w14:paraId="43AD3DE4" w14:textId="77777777" w:rsidR="00C20F8E" w:rsidRPr="007A0968" w:rsidRDefault="00C20F8E">
      <w:pPr>
        <w:rPr>
          <w:lang w:val="en-US"/>
        </w:rPr>
      </w:pPr>
    </w:p>
    <w:p w14:paraId="7CB09466" w14:textId="36A1731D" w:rsidR="00C20F8E" w:rsidRPr="007A0968" w:rsidRDefault="00C20F8E">
      <w:pPr>
        <w:rPr>
          <w:lang w:val="en-US"/>
        </w:rPr>
      </w:pPr>
    </w:p>
    <w:p w14:paraId="5CAF8857" w14:textId="77777777" w:rsidR="00C20F8E" w:rsidRPr="007A0968" w:rsidRDefault="00C20F8E">
      <w:pPr>
        <w:rPr>
          <w:lang w:val="en-US"/>
        </w:rPr>
      </w:pPr>
    </w:p>
    <w:p w14:paraId="021ED87A" w14:textId="5FD72DE7" w:rsidR="00207654" w:rsidRPr="00207654" w:rsidRDefault="00657F2B" w:rsidP="00207654">
      <w:pPr>
        <w:shd w:val="clear" w:color="auto" w:fill="215E99" w:themeFill="text2" w:themeFillTint="BF"/>
        <w:tabs>
          <w:tab w:val="center" w:pos="4536"/>
          <w:tab w:val="left" w:pos="7095"/>
        </w:tabs>
        <w:spacing w:after="100" w:afterAutospacing="1"/>
        <w:jc w:val="both"/>
        <w:outlineLvl w:val="2"/>
        <w:rPr>
          <w:rFonts w:cs="Arial"/>
          <w:b/>
          <w:bCs/>
          <w:color w:val="FFFFFF" w:themeColor="background1"/>
          <w:sz w:val="44"/>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07654">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 </w:t>
      </w:r>
      <w:r w:rsidR="00207654">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THE GLOBAL MEDIA DEFENCE FUND</w:t>
      </w:r>
      <w:r w:rsidRPr="00207654">
        <w:rPr>
          <w:rFonts w:cs="Arial"/>
          <w:b/>
          <w:bCs/>
          <w:color w:val="FFFFFF" w:themeColor="background1"/>
          <w:sz w:val="44"/>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4CAD62BA" w14:textId="010C4B4B" w:rsidR="00D963A5" w:rsidRDefault="005D3FA2" w:rsidP="007A6461">
      <w:pPr>
        <w:jc w:val="both"/>
        <w:rPr>
          <w:sz w:val="22"/>
          <w:szCs w:val="20"/>
          <w:lang w:val="en-US"/>
        </w:rPr>
      </w:pPr>
      <w:r w:rsidRPr="00EC7F6C">
        <w:rPr>
          <w:sz w:val="22"/>
          <w:szCs w:val="20"/>
          <w:lang w:val="en-US"/>
        </w:rPr>
        <w:t>Established in 2019</w:t>
      </w:r>
      <w:r w:rsidR="006A4954">
        <w:rPr>
          <w:sz w:val="22"/>
          <w:szCs w:val="20"/>
          <w:lang w:val="en-US"/>
        </w:rPr>
        <w:t xml:space="preserve"> within the framework of the </w:t>
      </w:r>
      <w:r w:rsidR="006A4954">
        <w:rPr>
          <w:i/>
          <w:iCs/>
          <w:sz w:val="22"/>
          <w:szCs w:val="20"/>
          <w:lang w:val="en-US"/>
        </w:rPr>
        <w:t xml:space="preserve">Global Campaign for Media Freedom </w:t>
      </w:r>
      <w:r w:rsidR="006A4954">
        <w:rPr>
          <w:sz w:val="22"/>
          <w:szCs w:val="20"/>
          <w:lang w:val="en-US"/>
        </w:rPr>
        <w:t xml:space="preserve">and the overall umbrella of the </w:t>
      </w:r>
      <w:hyperlink r:id="rId9" w:history="1">
        <w:r w:rsidR="006A4954" w:rsidRPr="00627101">
          <w:rPr>
            <w:rStyle w:val="Hyperlink"/>
            <w:sz w:val="22"/>
            <w:szCs w:val="20"/>
            <w:lang w:val="en-US"/>
          </w:rPr>
          <w:t>UN Plan of Action on Safety of Journalists and the Issue of Impunity</w:t>
        </w:r>
      </w:hyperlink>
      <w:r w:rsidRPr="00EC7F6C">
        <w:rPr>
          <w:sz w:val="22"/>
          <w:szCs w:val="20"/>
          <w:lang w:val="en-US"/>
        </w:rPr>
        <w:t xml:space="preserve"> </w:t>
      </w:r>
      <w:r w:rsidR="0005707C">
        <w:rPr>
          <w:sz w:val="22"/>
          <w:szCs w:val="20"/>
          <w:lang w:val="en-US"/>
        </w:rPr>
        <w:t xml:space="preserve">(hereinafter “the UN Plan of Action”) </w:t>
      </w:r>
      <w:r w:rsidR="008119B8">
        <w:rPr>
          <w:sz w:val="22"/>
          <w:szCs w:val="20"/>
          <w:lang w:val="en-US"/>
        </w:rPr>
        <w:t>–</w:t>
      </w:r>
      <w:r w:rsidR="008119B8" w:rsidRPr="008119B8">
        <w:rPr>
          <w:sz w:val="22"/>
          <w:szCs w:val="20"/>
          <w:lang w:val="en-US"/>
        </w:rPr>
        <w:t xml:space="preserve">and the </w:t>
      </w:r>
      <w:hyperlink r:id="rId10" w:history="1">
        <w:r w:rsidR="008119B8" w:rsidRPr="00365B3F">
          <w:rPr>
            <w:rStyle w:val="Hyperlink"/>
            <w:sz w:val="22"/>
            <w:szCs w:val="20"/>
            <w:lang w:val="en-US"/>
          </w:rPr>
          <w:t>recommendation</w:t>
        </w:r>
        <w:r w:rsidR="00707650" w:rsidRPr="00365B3F">
          <w:rPr>
            <w:rStyle w:val="Hyperlink"/>
            <w:sz w:val="22"/>
            <w:szCs w:val="20"/>
            <w:lang w:val="en-US"/>
          </w:rPr>
          <w:t>s</w:t>
        </w:r>
      </w:hyperlink>
      <w:r w:rsidR="008119B8" w:rsidRPr="008119B8">
        <w:rPr>
          <w:sz w:val="22"/>
          <w:szCs w:val="20"/>
          <w:lang w:val="en-US"/>
        </w:rPr>
        <w:t xml:space="preserve"> for </w:t>
      </w:r>
      <w:r w:rsidR="0005707C">
        <w:rPr>
          <w:sz w:val="22"/>
          <w:szCs w:val="20"/>
          <w:lang w:val="en-US"/>
        </w:rPr>
        <w:t>an</w:t>
      </w:r>
      <w:r w:rsidR="008119B8" w:rsidRPr="008119B8">
        <w:rPr>
          <w:sz w:val="22"/>
          <w:szCs w:val="20"/>
          <w:lang w:val="en-US"/>
        </w:rPr>
        <w:t xml:space="preserve"> upscaled implementation</w:t>
      </w:r>
      <w:r w:rsidR="008119B8">
        <w:rPr>
          <w:sz w:val="22"/>
          <w:szCs w:val="20"/>
          <w:lang w:val="en-US"/>
        </w:rPr>
        <w:t xml:space="preserve">–, </w:t>
      </w:r>
      <w:r w:rsidRPr="00EC7F6C">
        <w:rPr>
          <w:sz w:val="22"/>
          <w:szCs w:val="20"/>
          <w:lang w:val="en-US"/>
        </w:rPr>
        <w:t xml:space="preserve">the Global Media Defence Fund (hereinafter “GMDF” or “the Fund”) </w:t>
      </w:r>
      <w:r w:rsidR="00D325D5" w:rsidRPr="00EC7F6C">
        <w:rPr>
          <w:sz w:val="22"/>
          <w:szCs w:val="20"/>
          <w:lang w:val="en-US"/>
        </w:rPr>
        <w:t xml:space="preserve">is a UNESCO Multi-Partner Trust Fund which </w:t>
      </w:r>
      <w:r w:rsidR="00D2661B" w:rsidRPr="00EC7F6C">
        <w:rPr>
          <w:sz w:val="22"/>
          <w:szCs w:val="20"/>
          <w:lang w:val="en-US"/>
        </w:rPr>
        <w:t xml:space="preserve">supports local, regional, and global projects contributing </w:t>
      </w:r>
      <w:r w:rsidR="007846AE">
        <w:rPr>
          <w:sz w:val="22"/>
          <w:szCs w:val="20"/>
          <w:lang w:val="en-US"/>
        </w:rPr>
        <w:t xml:space="preserve">to </w:t>
      </w:r>
      <w:r w:rsidR="007846AE" w:rsidRPr="00211DC4">
        <w:rPr>
          <w:sz w:val="22"/>
          <w:szCs w:val="20"/>
          <w:lang w:val="en-US"/>
        </w:rPr>
        <w:t>bolstering</w:t>
      </w:r>
      <w:r w:rsidR="00D963A5">
        <w:rPr>
          <w:sz w:val="22"/>
          <w:szCs w:val="20"/>
          <w:lang w:val="en-US"/>
        </w:rPr>
        <w:t xml:space="preserve"> journalists’ legal protection</w:t>
      </w:r>
      <w:r w:rsidR="00322B0E">
        <w:rPr>
          <w:sz w:val="22"/>
          <w:szCs w:val="20"/>
          <w:lang w:val="en-US"/>
        </w:rPr>
        <w:t xml:space="preserve"> and enhancing media freedom.</w:t>
      </w:r>
    </w:p>
    <w:p w14:paraId="1495C05B" w14:textId="4D563EAD" w:rsidR="00DA0F3B" w:rsidRDefault="00322B0E" w:rsidP="007A6461">
      <w:pPr>
        <w:jc w:val="both"/>
        <w:rPr>
          <w:sz w:val="22"/>
          <w:szCs w:val="20"/>
          <w:lang w:val="en-US"/>
        </w:rPr>
      </w:pPr>
      <w:r>
        <w:rPr>
          <w:sz w:val="22"/>
          <w:szCs w:val="20"/>
          <w:lang w:val="en-US"/>
        </w:rPr>
        <w:t>T</w:t>
      </w:r>
      <w:r w:rsidR="00DA0F3B" w:rsidRPr="00DA0F3B">
        <w:rPr>
          <w:sz w:val="22"/>
          <w:szCs w:val="20"/>
          <w:lang w:val="en-US"/>
        </w:rPr>
        <w:t xml:space="preserve">he GMDF contributes to creating a free and safer environment for journalists to undertake their work through four key approaches or Outputs: </w:t>
      </w:r>
    </w:p>
    <w:p w14:paraId="36CEF37B" w14:textId="3646198E" w:rsidR="00DA0F3B" w:rsidRDefault="00DA0F3B" w:rsidP="00DA0F3B">
      <w:pPr>
        <w:pStyle w:val="ListParagraph"/>
        <w:numPr>
          <w:ilvl w:val="0"/>
          <w:numId w:val="1"/>
        </w:numPr>
        <w:jc w:val="both"/>
        <w:rPr>
          <w:sz w:val="22"/>
          <w:szCs w:val="20"/>
          <w:lang w:val="en-US"/>
        </w:rPr>
      </w:pPr>
      <w:r w:rsidRPr="00DA0F3B">
        <w:rPr>
          <w:sz w:val="22"/>
          <w:szCs w:val="20"/>
          <w:lang w:val="en-US"/>
        </w:rPr>
        <w:t xml:space="preserve">Output 1: Fostering international legal cooperation, as well as the sharing and implementation of good practices for promoting the defense of journalists under attack and addressing impunity for attacks against them. </w:t>
      </w:r>
    </w:p>
    <w:p w14:paraId="74779409" w14:textId="35AFDF46" w:rsidR="00DA0F3B" w:rsidRDefault="00DA0F3B" w:rsidP="00DA0F3B">
      <w:pPr>
        <w:pStyle w:val="ListParagraph"/>
        <w:numPr>
          <w:ilvl w:val="0"/>
          <w:numId w:val="1"/>
        </w:numPr>
        <w:jc w:val="both"/>
        <w:rPr>
          <w:sz w:val="22"/>
          <w:szCs w:val="20"/>
          <w:lang w:val="en-US"/>
        </w:rPr>
      </w:pPr>
      <w:r w:rsidRPr="00DA0F3B">
        <w:rPr>
          <w:sz w:val="22"/>
          <w:szCs w:val="20"/>
          <w:lang w:val="en-US"/>
        </w:rPr>
        <w:t>Output 2: Reinforcing the operationalization of national safety mechanisms and peer support networks to ensure journalists’ rapid access to legal assistance, bolster their defense and enhance their safety, taking into account the gendered nature of the threats against them.</w:t>
      </w:r>
    </w:p>
    <w:p w14:paraId="6773DAB9" w14:textId="77777777" w:rsidR="00DA0F3B" w:rsidRDefault="00DA0F3B" w:rsidP="00DA0F3B">
      <w:pPr>
        <w:pStyle w:val="ListParagraph"/>
        <w:numPr>
          <w:ilvl w:val="0"/>
          <w:numId w:val="1"/>
        </w:numPr>
        <w:jc w:val="both"/>
        <w:rPr>
          <w:sz w:val="22"/>
          <w:szCs w:val="20"/>
          <w:lang w:val="en-US"/>
        </w:rPr>
      </w:pPr>
      <w:r w:rsidRPr="00DA0F3B">
        <w:rPr>
          <w:sz w:val="22"/>
          <w:szCs w:val="20"/>
          <w:lang w:val="en-US"/>
        </w:rPr>
        <w:t xml:space="preserve">Output 3: Supporting investigative journalism that contributes to reduced impunity for crimes against journalists by holding the justice system accountable and by pursuing investigative work that risks being censored when journalists are attacked, imprisoned, or murdered; and enhances the safety of those conducting this line of work. </w:t>
      </w:r>
    </w:p>
    <w:p w14:paraId="7EA1E0DA" w14:textId="1C078486" w:rsidR="00C65161" w:rsidRDefault="00DA0F3B" w:rsidP="00DA0F3B">
      <w:pPr>
        <w:pStyle w:val="ListParagraph"/>
        <w:numPr>
          <w:ilvl w:val="0"/>
          <w:numId w:val="1"/>
        </w:numPr>
        <w:jc w:val="both"/>
        <w:rPr>
          <w:sz w:val="22"/>
          <w:szCs w:val="20"/>
          <w:lang w:val="en-US"/>
        </w:rPr>
      </w:pPr>
      <w:r w:rsidRPr="00DA0F3B">
        <w:rPr>
          <w:sz w:val="22"/>
          <w:szCs w:val="20"/>
          <w:lang w:val="en-US"/>
        </w:rPr>
        <w:t>Output 4: Enhancing structures for fostering strategic litigation in order to protect national and regional environments where the legal frameworks are conducive to an independent, free, and plural media ecosystems.</w:t>
      </w:r>
    </w:p>
    <w:p w14:paraId="39B0D106" w14:textId="005CC4E0" w:rsidR="00740DF7" w:rsidRDefault="002301DB" w:rsidP="00740DF7">
      <w:pPr>
        <w:jc w:val="both"/>
        <w:rPr>
          <w:sz w:val="22"/>
          <w:szCs w:val="20"/>
          <w:lang w:val="en-US"/>
        </w:rPr>
      </w:pPr>
      <w:r w:rsidRPr="002301DB">
        <w:rPr>
          <w:sz w:val="22"/>
          <w:szCs w:val="20"/>
          <w:lang w:val="en-US"/>
        </w:rPr>
        <w:t xml:space="preserve">Under </w:t>
      </w:r>
      <w:r w:rsidRPr="00E21FB9">
        <w:rPr>
          <w:b/>
          <w:bCs/>
          <w:sz w:val="22"/>
          <w:szCs w:val="20"/>
          <w:lang w:val="en-US"/>
        </w:rPr>
        <w:t>Output 2, Output 3 and Output 4</w:t>
      </w:r>
      <w:r w:rsidR="00EF270A">
        <w:rPr>
          <w:sz w:val="22"/>
          <w:szCs w:val="20"/>
          <w:lang w:val="en-US"/>
        </w:rPr>
        <w:t xml:space="preserve"> of the Fund</w:t>
      </w:r>
      <w:r w:rsidRPr="002301DB">
        <w:rPr>
          <w:sz w:val="22"/>
          <w:szCs w:val="20"/>
          <w:lang w:val="en-US"/>
        </w:rPr>
        <w:t xml:space="preserve">, UNESCO </w:t>
      </w:r>
      <w:r w:rsidR="00FD65B0">
        <w:rPr>
          <w:sz w:val="22"/>
          <w:szCs w:val="20"/>
          <w:lang w:val="en-US"/>
        </w:rPr>
        <w:t>seeks partnerships with</w:t>
      </w:r>
      <w:r w:rsidRPr="002301DB">
        <w:rPr>
          <w:sz w:val="22"/>
          <w:szCs w:val="20"/>
          <w:lang w:val="en-US"/>
        </w:rPr>
        <w:t xml:space="preserve"> </w:t>
      </w:r>
      <w:r w:rsidR="005A532D">
        <w:rPr>
          <w:sz w:val="22"/>
          <w:szCs w:val="20"/>
          <w:lang w:val="en-US"/>
        </w:rPr>
        <w:t>not-for-profit organizations</w:t>
      </w:r>
      <w:r w:rsidRPr="002301DB">
        <w:rPr>
          <w:sz w:val="22"/>
          <w:szCs w:val="20"/>
          <w:lang w:val="en-US"/>
        </w:rPr>
        <w:t xml:space="preserve"> </w:t>
      </w:r>
      <w:r w:rsidR="00BF33AD">
        <w:rPr>
          <w:sz w:val="22"/>
          <w:szCs w:val="20"/>
          <w:lang w:val="en-US"/>
        </w:rPr>
        <w:t>(including but not limited to non-governmental organizations,</w:t>
      </w:r>
      <w:r w:rsidR="00183272">
        <w:rPr>
          <w:sz w:val="22"/>
          <w:szCs w:val="20"/>
          <w:lang w:val="en-US"/>
        </w:rPr>
        <w:t xml:space="preserve"> foundations, professional associations, academic institutions, </w:t>
      </w:r>
      <w:r w:rsidR="006406C9">
        <w:rPr>
          <w:sz w:val="22"/>
          <w:szCs w:val="20"/>
          <w:lang w:val="en-US"/>
        </w:rPr>
        <w:t xml:space="preserve">and </w:t>
      </w:r>
      <w:r w:rsidR="00183272">
        <w:rPr>
          <w:sz w:val="22"/>
          <w:szCs w:val="20"/>
          <w:lang w:val="en-US"/>
        </w:rPr>
        <w:t>intergovernmental organizations</w:t>
      </w:r>
      <w:r w:rsidR="006406C9">
        <w:rPr>
          <w:sz w:val="22"/>
          <w:szCs w:val="20"/>
          <w:lang w:val="en-US"/>
        </w:rPr>
        <w:t>, among many others</w:t>
      </w:r>
      <w:r w:rsidR="00183272">
        <w:rPr>
          <w:sz w:val="22"/>
          <w:szCs w:val="20"/>
          <w:lang w:val="en-US"/>
        </w:rPr>
        <w:t>)</w:t>
      </w:r>
      <w:r w:rsidR="00896AC7">
        <w:rPr>
          <w:sz w:val="22"/>
          <w:szCs w:val="20"/>
          <w:lang w:val="en-US"/>
        </w:rPr>
        <w:t xml:space="preserve"> </w:t>
      </w:r>
      <w:r w:rsidRPr="002301DB">
        <w:rPr>
          <w:sz w:val="22"/>
          <w:szCs w:val="20"/>
          <w:lang w:val="en-US"/>
        </w:rPr>
        <w:t xml:space="preserve">seeking to undertake or upscale local, regional, and/or global initiatives that, in line with international human rights standards, will contribute to advancing </w:t>
      </w:r>
      <w:r w:rsidRPr="00E21FB9">
        <w:rPr>
          <w:sz w:val="22"/>
          <w:szCs w:val="20"/>
          <w:u w:val="single"/>
          <w:lang w:val="en-US"/>
        </w:rPr>
        <w:t>at least one</w:t>
      </w:r>
      <w:r w:rsidRPr="002301DB">
        <w:rPr>
          <w:sz w:val="22"/>
          <w:szCs w:val="20"/>
          <w:lang w:val="en-US"/>
        </w:rPr>
        <w:t xml:space="preserve"> of these Outputs.</w:t>
      </w:r>
      <w:r w:rsidR="00FD65B0">
        <w:rPr>
          <w:sz w:val="22"/>
          <w:szCs w:val="20"/>
          <w:lang w:val="en-US"/>
        </w:rPr>
        <w:t xml:space="preserve"> </w:t>
      </w:r>
      <w:r w:rsidR="00EF7823">
        <w:rPr>
          <w:sz w:val="22"/>
          <w:szCs w:val="20"/>
          <w:lang w:val="en-US"/>
        </w:rPr>
        <w:t>Partner organizations are selected through competitive Calls for Partnerships</w:t>
      </w:r>
      <w:r w:rsidR="004950B2">
        <w:rPr>
          <w:sz w:val="22"/>
          <w:szCs w:val="20"/>
          <w:lang w:val="en-US"/>
        </w:rPr>
        <w:t>.</w:t>
      </w:r>
    </w:p>
    <w:p w14:paraId="317FD125" w14:textId="5F6C54DC" w:rsidR="00065F13" w:rsidRDefault="00065F13" w:rsidP="00DC0FD9">
      <w:pPr>
        <w:jc w:val="both"/>
        <w:rPr>
          <w:sz w:val="22"/>
          <w:szCs w:val="20"/>
          <w:lang w:val="en-US"/>
        </w:rPr>
      </w:pPr>
      <w:r w:rsidRPr="00065F13">
        <w:rPr>
          <w:sz w:val="22"/>
          <w:szCs w:val="20"/>
          <w:lang w:val="en-US"/>
        </w:rPr>
        <w:t>For more information about the Fund</w:t>
      </w:r>
      <w:r w:rsidR="00827DA7">
        <w:rPr>
          <w:sz w:val="22"/>
          <w:szCs w:val="20"/>
          <w:lang w:val="en-US"/>
        </w:rPr>
        <w:t>, its Output</w:t>
      </w:r>
      <w:r w:rsidR="00B5786E">
        <w:rPr>
          <w:sz w:val="22"/>
          <w:szCs w:val="20"/>
          <w:lang w:val="en-US"/>
        </w:rPr>
        <w:t>s,</w:t>
      </w:r>
      <w:r w:rsidR="00827DA7">
        <w:rPr>
          <w:sz w:val="22"/>
          <w:szCs w:val="20"/>
          <w:lang w:val="en-US"/>
        </w:rPr>
        <w:t xml:space="preserve"> and its impact,</w:t>
      </w:r>
      <w:r w:rsidRPr="00065F13">
        <w:rPr>
          <w:sz w:val="22"/>
          <w:szCs w:val="20"/>
          <w:lang w:val="en-US"/>
        </w:rPr>
        <w:t xml:space="preserve"> please visit the GMDF </w:t>
      </w:r>
      <w:hyperlink r:id="rId11" w:history="1">
        <w:r w:rsidRPr="00D22C96">
          <w:rPr>
            <w:rStyle w:val="Hyperlink"/>
            <w:sz w:val="22"/>
            <w:szCs w:val="20"/>
            <w:lang w:val="en-US"/>
          </w:rPr>
          <w:t>webpage</w:t>
        </w:r>
      </w:hyperlink>
      <w:r w:rsidRPr="00065F13">
        <w:rPr>
          <w:sz w:val="22"/>
          <w:szCs w:val="20"/>
          <w:lang w:val="en-US"/>
        </w:rPr>
        <w:t>. The Fund’s latest narrative report, covering the period between 2020 and 202</w:t>
      </w:r>
      <w:r w:rsidR="005209E9">
        <w:rPr>
          <w:sz w:val="22"/>
          <w:szCs w:val="20"/>
          <w:lang w:val="en-US"/>
        </w:rPr>
        <w:t>4</w:t>
      </w:r>
      <w:r w:rsidRPr="00065F13">
        <w:rPr>
          <w:sz w:val="22"/>
          <w:szCs w:val="20"/>
          <w:lang w:val="en-US"/>
        </w:rPr>
        <w:t xml:space="preserve">, can be found </w:t>
      </w:r>
      <w:hyperlink r:id="rId12" w:history="1">
        <w:r w:rsidRPr="009A7C91">
          <w:rPr>
            <w:rStyle w:val="Hyperlink"/>
            <w:sz w:val="22"/>
            <w:szCs w:val="20"/>
            <w:lang w:val="en-US"/>
          </w:rPr>
          <w:t>here</w:t>
        </w:r>
      </w:hyperlink>
      <w:r w:rsidRPr="00065F13">
        <w:rPr>
          <w:sz w:val="22"/>
          <w:szCs w:val="20"/>
          <w:lang w:val="en-US"/>
        </w:rPr>
        <w:t>.</w:t>
      </w:r>
    </w:p>
    <w:p w14:paraId="793B2C44" w14:textId="3E3E4204" w:rsidR="000226A6" w:rsidRDefault="00740DF7" w:rsidP="00DC0FD9">
      <w:pPr>
        <w:jc w:val="both"/>
        <w:rPr>
          <w:rFonts w:eastAsia="Arial Unicode MS"/>
          <w:sz w:val="22"/>
          <w:szCs w:val="22"/>
          <w:lang w:val="en-GB"/>
        </w:rPr>
      </w:pPr>
      <w:r w:rsidRPr="00740DF7">
        <w:rPr>
          <w:rFonts w:eastAsia="Arial Unicode MS"/>
          <w:sz w:val="22"/>
          <w:szCs w:val="22"/>
          <w:lang w:val="en-GB"/>
        </w:rPr>
        <w:t>The GMDF complements and synergi</w:t>
      </w:r>
      <w:r w:rsidR="00083A1F">
        <w:rPr>
          <w:rFonts w:eastAsia="Arial Unicode MS"/>
          <w:sz w:val="22"/>
          <w:szCs w:val="22"/>
          <w:lang w:val="en-GB"/>
        </w:rPr>
        <w:t>z</w:t>
      </w:r>
      <w:r w:rsidRPr="00740DF7">
        <w:rPr>
          <w:rFonts w:eastAsia="Arial Unicode MS"/>
          <w:sz w:val="22"/>
          <w:szCs w:val="22"/>
          <w:lang w:val="en-GB"/>
        </w:rPr>
        <w:t>es with actions implemented under UNESCO’s regular programme and other extra-budgetary funding modalities supporting the Organi</w:t>
      </w:r>
      <w:r w:rsidR="00083A1F">
        <w:rPr>
          <w:rFonts w:eastAsia="Arial Unicode MS"/>
          <w:sz w:val="22"/>
          <w:szCs w:val="22"/>
          <w:lang w:val="en-GB"/>
        </w:rPr>
        <w:t>z</w:t>
      </w:r>
      <w:r w:rsidRPr="00740DF7">
        <w:rPr>
          <w:rFonts w:eastAsia="Arial Unicode MS"/>
          <w:sz w:val="22"/>
          <w:szCs w:val="22"/>
          <w:lang w:val="en-GB"/>
        </w:rPr>
        <w:t xml:space="preserve">ation’s work on freedom of expression and safety of journalists, such as the </w:t>
      </w:r>
      <w:hyperlink r:id="rId13" w:history="1">
        <w:r w:rsidRPr="00740DF7">
          <w:rPr>
            <w:rStyle w:val="Hyperlink"/>
            <w:rFonts w:eastAsia="Arial Unicode MS"/>
            <w:sz w:val="22"/>
            <w:szCs w:val="22"/>
            <w:lang w:val="en-GB"/>
          </w:rPr>
          <w:t>Multi-Donor Programme on Freedom of Expression and Safety of Journalists (MDP)</w:t>
        </w:r>
      </w:hyperlink>
      <w:r w:rsidRPr="00740DF7">
        <w:rPr>
          <w:rFonts w:eastAsia="Arial Unicode MS"/>
          <w:sz w:val="22"/>
          <w:szCs w:val="22"/>
          <w:lang w:val="en-GB"/>
        </w:rPr>
        <w:t xml:space="preserve">, the </w:t>
      </w:r>
      <w:hyperlink r:id="rId14" w:history="1">
        <w:r w:rsidRPr="00740DF7">
          <w:rPr>
            <w:rStyle w:val="Hyperlink"/>
            <w:rFonts w:eastAsia="Arial Unicode MS"/>
            <w:sz w:val="22"/>
            <w:szCs w:val="22"/>
            <w:lang w:val="en-GB"/>
          </w:rPr>
          <w:t>International Programme for the Development of Communication (IPDC)</w:t>
        </w:r>
      </w:hyperlink>
      <w:r w:rsidRPr="00740DF7">
        <w:rPr>
          <w:rFonts w:eastAsia="Arial Unicode MS"/>
          <w:sz w:val="22"/>
          <w:szCs w:val="22"/>
          <w:lang w:val="en-GB"/>
        </w:rPr>
        <w:t>, as well as single-donor UNESCO Funds-In-Trust projects</w:t>
      </w:r>
      <w:r w:rsidR="000E5F69">
        <w:rPr>
          <w:rFonts w:eastAsia="Arial Unicode MS"/>
          <w:sz w:val="22"/>
          <w:szCs w:val="22"/>
          <w:lang w:val="en-GB"/>
        </w:rPr>
        <w:t xml:space="preserve">, </w:t>
      </w:r>
      <w:r w:rsidRPr="00740DF7">
        <w:rPr>
          <w:rFonts w:eastAsia="Arial Unicode MS"/>
          <w:sz w:val="22"/>
          <w:szCs w:val="22"/>
          <w:lang w:val="en-GB"/>
        </w:rPr>
        <w:t>among many other initiatives. Coordination on complementarities and/or synergies is actively sought out among the projects implemented with UNESCO/GMDF support, including the implementation of measures to avoid any potential overlaps and/or the duplication of activities.</w:t>
      </w:r>
    </w:p>
    <w:p w14:paraId="4539D133" w14:textId="60767607" w:rsidR="008F0819" w:rsidRPr="008F0819" w:rsidRDefault="009F3BF8" w:rsidP="008F0819">
      <w:pPr>
        <w:shd w:val="clear" w:color="auto" w:fill="215E99" w:themeFill="text2" w:themeFillTint="BF"/>
        <w:tabs>
          <w:tab w:val="center" w:pos="4536"/>
          <w:tab w:val="left" w:pos="7095"/>
        </w:tabs>
        <w:spacing w:before="240" w:after="100" w:afterAutospacing="1"/>
        <w:jc w:val="both"/>
        <w:outlineLvl w:val="2"/>
        <w:rPr>
          <w:rFonts w:cs="Arial"/>
          <w:b/>
          <w:bCs/>
          <w:color w:val="FFFFFF" w:themeColor="background1"/>
          <w:sz w:val="44"/>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07654">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I</w:t>
      </w:r>
      <w:r>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w:t>
      </w:r>
      <w:r w:rsidRPr="00207654">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707552">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ACTIONS </w:t>
      </w:r>
      <w:r w:rsidR="009C4FB3">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SUPPORTED UNDER THIS</w:t>
      </w:r>
      <w:r w:rsidR="00DD745F">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THEMATIC</w:t>
      </w:r>
      <w:r w:rsidR="009C4FB3">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CALL</w:t>
      </w:r>
    </w:p>
    <w:p w14:paraId="75CC9A2C" w14:textId="6AEC1C02" w:rsidR="00EB0880" w:rsidRDefault="00EB0880" w:rsidP="004D0802">
      <w:pPr>
        <w:jc w:val="both"/>
        <w:rPr>
          <w:b/>
          <w:bCs/>
          <w:sz w:val="22"/>
          <w:szCs w:val="20"/>
          <w:lang w:val="en-US"/>
        </w:rPr>
      </w:pPr>
      <w:r>
        <w:rPr>
          <w:b/>
          <w:bCs/>
          <w:sz w:val="22"/>
          <w:szCs w:val="20"/>
          <w:lang w:val="en-US"/>
        </w:rPr>
        <w:t>Background</w:t>
      </w:r>
    </w:p>
    <w:p w14:paraId="4D6E8F07" w14:textId="76034074" w:rsidR="00185DDB" w:rsidRDefault="004D0802" w:rsidP="004D0802">
      <w:pPr>
        <w:jc w:val="both"/>
        <w:rPr>
          <w:sz w:val="22"/>
          <w:szCs w:val="20"/>
          <w:lang w:val="en-US"/>
        </w:rPr>
      </w:pPr>
      <w:r w:rsidRPr="00EB0880">
        <w:rPr>
          <w:sz w:val="22"/>
          <w:szCs w:val="20"/>
          <w:lang w:val="en-US"/>
        </w:rPr>
        <w:t>Environmental journalism</w:t>
      </w:r>
      <w:r>
        <w:rPr>
          <w:sz w:val="22"/>
          <w:szCs w:val="20"/>
          <w:lang w:val="en-US"/>
        </w:rPr>
        <w:t xml:space="preserve"> plays a key role in responding to the global environmental crises of climate change, </w:t>
      </w:r>
      <w:r w:rsidR="00D41D4A">
        <w:rPr>
          <w:sz w:val="22"/>
          <w:szCs w:val="20"/>
          <w:lang w:val="en-US"/>
        </w:rPr>
        <w:t xml:space="preserve">nature and </w:t>
      </w:r>
      <w:r>
        <w:rPr>
          <w:sz w:val="22"/>
          <w:szCs w:val="20"/>
          <w:lang w:val="en-US"/>
        </w:rPr>
        <w:t xml:space="preserve">biodiversity loss, and </w:t>
      </w:r>
      <w:r w:rsidR="00890D27">
        <w:rPr>
          <w:sz w:val="22"/>
          <w:szCs w:val="20"/>
          <w:lang w:val="en-US"/>
        </w:rPr>
        <w:t>pollution and waste</w:t>
      </w:r>
      <w:r>
        <w:rPr>
          <w:sz w:val="22"/>
          <w:szCs w:val="20"/>
          <w:lang w:val="en-US"/>
        </w:rPr>
        <w:t>. Reporters covering environmental issues not only enable citizens’ access to reliable information on these crises, contributing to the decision-making process related to environmental policies and holding duty bearers accountable, but also document and tell the stories of the marginalized communities who carry the burden of a changing climate, and help raise awareness among disengaged audiences who believe the climate crisis does not affect them</w:t>
      </w:r>
      <w:r w:rsidR="00185DDB">
        <w:rPr>
          <w:sz w:val="22"/>
          <w:szCs w:val="20"/>
          <w:lang w:val="en-US"/>
        </w:rPr>
        <w:t>.</w:t>
      </w:r>
    </w:p>
    <w:p w14:paraId="6294C2E3" w14:textId="07F81E75" w:rsidR="00703678" w:rsidRDefault="004D0802" w:rsidP="00511C57">
      <w:pPr>
        <w:jc w:val="both"/>
        <w:rPr>
          <w:sz w:val="22"/>
          <w:szCs w:val="20"/>
          <w:lang w:val="en-US"/>
        </w:rPr>
      </w:pPr>
      <w:r>
        <w:rPr>
          <w:sz w:val="22"/>
          <w:szCs w:val="20"/>
          <w:lang w:val="en-US"/>
        </w:rPr>
        <w:t xml:space="preserve">Environmental journalism, however, is a </w:t>
      </w:r>
      <w:r w:rsidRPr="00906101">
        <w:rPr>
          <w:sz w:val="22"/>
          <w:szCs w:val="20"/>
          <w:lang w:val="en-US"/>
        </w:rPr>
        <w:t>dangerous field</w:t>
      </w:r>
      <w:r w:rsidR="00185DDB">
        <w:rPr>
          <w:sz w:val="22"/>
          <w:szCs w:val="20"/>
          <w:lang w:val="en-US"/>
        </w:rPr>
        <w:t xml:space="preserve">. </w:t>
      </w:r>
      <w:r w:rsidR="006B53F7" w:rsidRPr="006B53F7">
        <w:rPr>
          <w:sz w:val="22"/>
          <w:szCs w:val="20"/>
          <w:lang w:val="en-US"/>
        </w:rPr>
        <w:t xml:space="preserve">Journalists and communicators covering environmental issues face many threats and forms of violence </w:t>
      </w:r>
      <w:r w:rsidR="006B53F7" w:rsidRPr="0046283D">
        <w:rPr>
          <w:sz w:val="22"/>
          <w:szCs w:val="20"/>
          <w:lang w:val="en-US"/>
        </w:rPr>
        <w:t>due to the sensitive nature of their reporting.</w:t>
      </w:r>
      <w:r w:rsidR="00FB077D" w:rsidRPr="0046283D">
        <w:rPr>
          <w:sz w:val="22"/>
          <w:szCs w:val="20"/>
          <w:lang w:val="en-US"/>
        </w:rPr>
        <w:t xml:space="preserve"> These</w:t>
      </w:r>
      <w:r w:rsidR="00FB077D" w:rsidRPr="00FB077D">
        <w:rPr>
          <w:sz w:val="22"/>
          <w:szCs w:val="20"/>
          <w:lang w:val="en-US"/>
        </w:rPr>
        <w:t xml:space="preserve"> range from physical violence, surveillance, pressure</w:t>
      </w:r>
      <w:r w:rsidR="00421979">
        <w:rPr>
          <w:sz w:val="22"/>
          <w:szCs w:val="20"/>
          <w:lang w:val="en-US"/>
        </w:rPr>
        <w:t>s</w:t>
      </w:r>
      <w:r w:rsidR="00FB077D" w:rsidRPr="00FB077D">
        <w:rPr>
          <w:sz w:val="22"/>
          <w:szCs w:val="20"/>
          <w:lang w:val="en-US"/>
        </w:rPr>
        <w:t>, or intimidation by national and transnational companies that could be affected by their activities, the imposition of official controls and the pernicious use of the State apparatus (administrative and judicial)</w:t>
      </w:r>
      <w:r w:rsidR="00184210">
        <w:rPr>
          <w:sz w:val="22"/>
          <w:szCs w:val="20"/>
          <w:lang w:val="en-US"/>
        </w:rPr>
        <w:t xml:space="preserve">, as well as </w:t>
      </w:r>
      <w:r w:rsidR="00184210" w:rsidRPr="0046283D">
        <w:rPr>
          <w:sz w:val="22"/>
          <w:szCs w:val="20"/>
          <w:lang w:val="en-US"/>
        </w:rPr>
        <w:t>the resort to legal attacks</w:t>
      </w:r>
      <w:r w:rsidR="00184210">
        <w:rPr>
          <w:sz w:val="22"/>
          <w:szCs w:val="20"/>
          <w:lang w:val="en-US"/>
        </w:rPr>
        <w:t xml:space="preserve"> </w:t>
      </w:r>
      <w:r w:rsidR="00421979">
        <w:rPr>
          <w:sz w:val="22"/>
          <w:szCs w:val="20"/>
          <w:lang w:val="en-US"/>
        </w:rPr>
        <w:t xml:space="preserve">– </w:t>
      </w:r>
      <w:r w:rsidR="00184210">
        <w:rPr>
          <w:sz w:val="22"/>
          <w:szCs w:val="20"/>
          <w:lang w:val="en-US"/>
        </w:rPr>
        <w:t xml:space="preserve">based on charges such as </w:t>
      </w:r>
      <w:r w:rsidR="005C621C">
        <w:rPr>
          <w:sz w:val="22"/>
          <w:szCs w:val="20"/>
          <w:lang w:val="en-US"/>
        </w:rPr>
        <w:t xml:space="preserve">criminal and civil defamation, </w:t>
      </w:r>
      <w:r w:rsidR="00184210">
        <w:rPr>
          <w:sz w:val="22"/>
          <w:szCs w:val="20"/>
          <w:lang w:val="en-US"/>
        </w:rPr>
        <w:t xml:space="preserve">public </w:t>
      </w:r>
      <w:r w:rsidR="005C621C">
        <w:rPr>
          <w:sz w:val="22"/>
          <w:szCs w:val="20"/>
          <w:lang w:val="en-US"/>
        </w:rPr>
        <w:t>order disruption, terrorism, hate speech, and dissemination of fake news</w:t>
      </w:r>
      <w:r w:rsidR="00421979">
        <w:rPr>
          <w:sz w:val="22"/>
          <w:szCs w:val="20"/>
          <w:lang w:val="en-US"/>
        </w:rPr>
        <w:t xml:space="preserve"> –</w:t>
      </w:r>
      <w:r w:rsidR="00321081">
        <w:rPr>
          <w:sz w:val="22"/>
          <w:szCs w:val="20"/>
          <w:lang w:val="en-US"/>
        </w:rPr>
        <w:t xml:space="preserve"> meant to silence critical </w:t>
      </w:r>
      <w:r w:rsidR="00F663B1">
        <w:rPr>
          <w:sz w:val="22"/>
          <w:szCs w:val="20"/>
          <w:lang w:val="en-US"/>
        </w:rPr>
        <w:t xml:space="preserve">environmental </w:t>
      </w:r>
      <w:r w:rsidR="00321081">
        <w:rPr>
          <w:sz w:val="22"/>
          <w:szCs w:val="20"/>
          <w:lang w:val="en-US"/>
        </w:rPr>
        <w:t>reporting.</w:t>
      </w:r>
      <w:r w:rsidR="00C0145F">
        <w:rPr>
          <w:sz w:val="22"/>
          <w:szCs w:val="20"/>
          <w:lang w:val="en-US"/>
        </w:rPr>
        <w:t xml:space="preserve"> </w:t>
      </w:r>
    </w:p>
    <w:p w14:paraId="651C0155" w14:textId="448666CD" w:rsidR="003F65A2" w:rsidRDefault="003F65A2" w:rsidP="00511C57">
      <w:pPr>
        <w:jc w:val="both"/>
        <w:rPr>
          <w:sz w:val="22"/>
          <w:szCs w:val="20"/>
          <w:lang w:val="en-US"/>
        </w:rPr>
      </w:pPr>
      <w:r>
        <w:rPr>
          <w:sz w:val="22"/>
          <w:szCs w:val="20"/>
          <w:lang w:val="en-US"/>
        </w:rPr>
        <w:t xml:space="preserve">A UNESCO </w:t>
      </w:r>
      <w:hyperlink r:id="rId15" w:history="1">
        <w:r w:rsidRPr="00906101">
          <w:rPr>
            <w:rStyle w:val="Hyperlink"/>
            <w:sz w:val="22"/>
            <w:szCs w:val="20"/>
            <w:lang w:val="en-US"/>
          </w:rPr>
          <w:t>policy brief</w:t>
        </w:r>
      </w:hyperlink>
      <w:r w:rsidR="0066384B">
        <w:rPr>
          <w:sz w:val="22"/>
          <w:szCs w:val="20"/>
          <w:lang w:val="en-US"/>
        </w:rPr>
        <w:t xml:space="preserve"> published on </w:t>
      </w:r>
      <w:r w:rsidR="00906101">
        <w:rPr>
          <w:sz w:val="22"/>
          <w:szCs w:val="20"/>
          <w:lang w:val="en-US"/>
        </w:rPr>
        <w:t xml:space="preserve">the occasion of </w:t>
      </w:r>
      <w:r w:rsidR="0066384B">
        <w:rPr>
          <w:sz w:val="22"/>
          <w:szCs w:val="20"/>
          <w:lang w:val="en-US"/>
        </w:rPr>
        <w:t xml:space="preserve">World Press Freedom </w:t>
      </w:r>
      <w:r w:rsidR="00363268">
        <w:rPr>
          <w:sz w:val="22"/>
          <w:szCs w:val="20"/>
          <w:lang w:val="en-US"/>
        </w:rPr>
        <w:t>D</w:t>
      </w:r>
      <w:r w:rsidR="0066384B">
        <w:rPr>
          <w:sz w:val="22"/>
          <w:szCs w:val="20"/>
          <w:lang w:val="en-US"/>
        </w:rPr>
        <w:t>ay</w:t>
      </w:r>
      <w:r w:rsidR="00BA42D1">
        <w:rPr>
          <w:sz w:val="22"/>
          <w:szCs w:val="20"/>
          <w:lang w:val="en-US"/>
        </w:rPr>
        <w:t xml:space="preserve"> 2024</w:t>
      </w:r>
      <w:r w:rsidR="002D65CE">
        <w:rPr>
          <w:sz w:val="22"/>
          <w:szCs w:val="20"/>
          <w:lang w:val="en-US"/>
        </w:rPr>
        <w:t xml:space="preserve"> (</w:t>
      </w:r>
      <w:r w:rsidR="0066384B">
        <w:rPr>
          <w:sz w:val="22"/>
          <w:szCs w:val="20"/>
          <w:lang w:val="en-US"/>
        </w:rPr>
        <w:t>3 May 2024</w:t>
      </w:r>
      <w:r w:rsidR="002D65CE">
        <w:rPr>
          <w:sz w:val="22"/>
          <w:szCs w:val="20"/>
          <w:lang w:val="en-US"/>
        </w:rPr>
        <w:t>)</w:t>
      </w:r>
      <w:r>
        <w:rPr>
          <w:sz w:val="22"/>
          <w:szCs w:val="20"/>
          <w:lang w:val="en-US"/>
        </w:rPr>
        <w:t xml:space="preserve"> highlighted the </w:t>
      </w:r>
      <w:r w:rsidR="0066384B">
        <w:rPr>
          <w:sz w:val="22"/>
          <w:szCs w:val="20"/>
          <w:lang w:val="en-US"/>
        </w:rPr>
        <w:t xml:space="preserve">risks faced by journalists covering environmental issues. </w:t>
      </w:r>
      <w:r w:rsidR="00F130BF">
        <w:rPr>
          <w:sz w:val="22"/>
          <w:szCs w:val="20"/>
          <w:lang w:val="en-US"/>
        </w:rPr>
        <w:t>The study found that:</w:t>
      </w:r>
    </w:p>
    <w:p w14:paraId="401D0742" w14:textId="136206EE" w:rsidR="0066384B" w:rsidRPr="002D65CE" w:rsidRDefault="0066384B" w:rsidP="002D65CE">
      <w:pPr>
        <w:pStyle w:val="ListParagraph"/>
        <w:numPr>
          <w:ilvl w:val="0"/>
          <w:numId w:val="32"/>
        </w:numPr>
        <w:jc w:val="both"/>
        <w:rPr>
          <w:sz w:val="22"/>
          <w:szCs w:val="20"/>
          <w:lang w:val="en-US"/>
        </w:rPr>
      </w:pPr>
      <w:r w:rsidRPr="002D65CE">
        <w:rPr>
          <w:sz w:val="22"/>
          <w:szCs w:val="20"/>
          <w:lang w:val="en-US"/>
        </w:rPr>
        <w:t>A total of 44 journalists reporting on environmental issues have been killed in the past 15 years, with only five cases resulting in convictions, according to UNESCO’s Observatory of Killed Journalists.</w:t>
      </w:r>
      <w:r w:rsidR="001F7A9B">
        <w:rPr>
          <w:sz w:val="22"/>
          <w:szCs w:val="20"/>
          <w:lang w:val="en-US"/>
        </w:rPr>
        <w:t xml:space="preserve"> At</w:t>
      </w:r>
      <w:r w:rsidRPr="002D65CE">
        <w:rPr>
          <w:sz w:val="22"/>
          <w:szCs w:val="20"/>
          <w:lang w:val="en-US"/>
        </w:rPr>
        <w:t xml:space="preserve"> least 24 journalists survived murder attempts</w:t>
      </w:r>
      <w:r w:rsidR="001F7A9B">
        <w:rPr>
          <w:sz w:val="22"/>
          <w:szCs w:val="20"/>
          <w:lang w:val="en-US"/>
        </w:rPr>
        <w:t xml:space="preserve"> over that same period</w:t>
      </w:r>
      <w:r w:rsidRPr="002D65CE">
        <w:rPr>
          <w:sz w:val="22"/>
          <w:szCs w:val="20"/>
          <w:lang w:val="en-US"/>
        </w:rPr>
        <w:t>.</w:t>
      </w:r>
    </w:p>
    <w:p w14:paraId="0B489FD1" w14:textId="39DBD3AD" w:rsidR="0066384B" w:rsidRPr="002D65CE" w:rsidRDefault="0066384B" w:rsidP="002D65CE">
      <w:pPr>
        <w:pStyle w:val="ListParagraph"/>
        <w:numPr>
          <w:ilvl w:val="0"/>
          <w:numId w:val="32"/>
        </w:numPr>
        <w:jc w:val="both"/>
        <w:rPr>
          <w:sz w:val="22"/>
          <w:szCs w:val="20"/>
          <w:lang w:val="en-US"/>
        </w:rPr>
      </w:pPr>
      <w:r w:rsidRPr="002D65CE">
        <w:rPr>
          <w:sz w:val="22"/>
          <w:szCs w:val="20"/>
          <w:lang w:val="en-US"/>
        </w:rPr>
        <w:t>At least 749 journalists, groups of journalists and news outlets reporting on environmental issues have been attacked in 89 countries since 2009, according to the detailed review of various data sources. These journalists and outlets covered a wide array of stories, from climate change causes, illegal mining, deforestation and fossil fuels, to issues specific to their communities like agribusiness, land grabs, mega-infrastructure projects, and the aftermath of extreme weather events.</w:t>
      </w:r>
    </w:p>
    <w:p w14:paraId="1FE92A71" w14:textId="6754F63F" w:rsidR="0066384B" w:rsidRPr="002D65CE" w:rsidRDefault="0066384B" w:rsidP="002D65CE">
      <w:pPr>
        <w:pStyle w:val="ListParagraph"/>
        <w:numPr>
          <w:ilvl w:val="0"/>
          <w:numId w:val="32"/>
        </w:numPr>
        <w:jc w:val="both"/>
        <w:rPr>
          <w:sz w:val="22"/>
          <w:szCs w:val="20"/>
          <w:lang w:val="en-US"/>
        </w:rPr>
      </w:pPr>
      <w:r w:rsidRPr="002D65CE">
        <w:rPr>
          <w:sz w:val="22"/>
          <w:szCs w:val="20"/>
          <w:lang w:val="en-US"/>
        </w:rPr>
        <w:t>Over 300 attacks occurred in the past five years, marking a 42% increase from the preceding five-year period. This surge is attributed to a rise in physical attacks like assaults, arrests and harassment, and legal actions including defamation lawsuits and criminal prosecutions.</w:t>
      </w:r>
    </w:p>
    <w:p w14:paraId="6612BD89" w14:textId="62EDAD7D" w:rsidR="0066384B" w:rsidRPr="002D65CE" w:rsidRDefault="0066384B" w:rsidP="002D65CE">
      <w:pPr>
        <w:pStyle w:val="ListParagraph"/>
        <w:numPr>
          <w:ilvl w:val="0"/>
          <w:numId w:val="32"/>
        </w:numPr>
        <w:jc w:val="both"/>
        <w:rPr>
          <w:sz w:val="22"/>
          <w:szCs w:val="20"/>
          <w:lang w:val="en-US"/>
        </w:rPr>
      </w:pPr>
      <w:r w:rsidRPr="002D65CE">
        <w:rPr>
          <w:sz w:val="22"/>
          <w:szCs w:val="20"/>
          <w:lang w:val="en-US"/>
        </w:rPr>
        <w:t>State actors, such as police, military forces, government officials and employees, have committed at least half of the 749 attacks. Private actors, including extractive industry companies, criminal groups, protesters and local communities, are responsible for at least a quarter</w:t>
      </w:r>
      <w:r w:rsidR="00D452ED">
        <w:rPr>
          <w:sz w:val="22"/>
          <w:szCs w:val="20"/>
          <w:lang w:val="en-US"/>
        </w:rPr>
        <w:t xml:space="preserve"> of th</w:t>
      </w:r>
      <w:r w:rsidR="00E42BC4">
        <w:rPr>
          <w:sz w:val="22"/>
          <w:szCs w:val="20"/>
          <w:lang w:val="en-US"/>
        </w:rPr>
        <w:t>ese attacks</w:t>
      </w:r>
      <w:r w:rsidRPr="002D65CE">
        <w:rPr>
          <w:sz w:val="22"/>
          <w:szCs w:val="20"/>
          <w:lang w:val="en-US"/>
        </w:rPr>
        <w:t xml:space="preserve">. </w:t>
      </w:r>
      <w:r w:rsidR="00A97033">
        <w:rPr>
          <w:sz w:val="22"/>
          <w:szCs w:val="20"/>
          <w:lang w:val="en-US"/>
        </w:rPr>
        <w:t xml:space="preserve"> </w:t>
      </w:r>
    </w:p>
    <w:p w14:paraId="6C566163" w14:textId="048CE2B6" w:rsidR="0066384B" w:rsidRDefault="0066384B" w:rsidP="004F22B2">
      <w:pPr>
        <w:pStyle w:val="ListParagraph"/>
        <w:numPr>
          <w:ilvl w:val="0"/>
          <w:numId w:val="32"/>
        </w:numPr>
        <w:jc w:val="both"/>
        <w:rPr>
          <w:sz w:val="22"/>
          <w:szCs w:val="20"/>
          <w:lang w:val="en-US"/>
        </w:rPr>
      </w:pPr>
      <w:r w:rsidRPr="002D65CE">
        <w:rPr>
          <w:sz w:val="22"/>
          <w:szCs w:val="20"/>
          <w:lang w:val="en-US"/>
        </w:rPr>
        <w:t xml:space="preserve">Since 2009, at least 204 journalists and news outlets covering environmental issues have faced legal attacks. Governments filed criminal charges against 93 of them, the most common type of legal attack. Moreover, 39 journalists have been imprisoned, primarily in </w:t>
      </w:r>
      <w:r w:rsidRPr="002D65CE">
        <w:rPr>
          <w:sz w:val="22"/>
          <w:szCs w:val="20"/>
          <w:lang w:val="en-US"/>
        </w:rPr>
        <w:lastRenderedPageBreak/>
        <w:t>Asia and the Pacific, in connection to their environmental reporting. Defamation lawsuits are also common with at least 63 cases, predominantly in Europe and North America.</w:t>
      </w:r>
    </w:p>
    <w:p w14:paraId="48E30647" w14:textId="6CB354FB" w:rsidR="0066384B" w:rsidRPr="00387E1A" w:rsidRDefault="0022335E" w:rsidP="0066384B">
      <w:pPr>
        <w:pStyle w:val="ListParagraph"/>
        <w:numPr>
          <w:ilvl w:val="0"/>
          <w:numId w:val="32"/>
        </w:numPr>
        <w:jc w:val="both"/>
        <w:rPr>
          <w:sz w:val="22"/>
          <w:szCs w:val="20"/>
          <w:lang w:val="en-US"/>
        </w:rPr>
      </w:pPr>
      <w:r w:rsidRPr="009B0EA6">
        <w:rPr>
          <w:sz w:val="22"/>
          <w:szCs w:val="20"/>
          <w:lang w:val="en-US"/>
        </w:rPr>
        <w:t xml:space="preserve">A </w:t>
      </w:r>
      <w:r w:rsidR="00B26346">
        <w:rPr>
          <w:sz w:val="22"/>
          <w:szCs w:val="20"/>
          <w:lang w:val="en-US"/>
        </w:rPr>
        <w:t>s</w:t>
      </w:r>
      <w:r w:rsidRPr="009B0EA6">
        <w:rPr>
          <w:sz w:val="22"/>
          <w:szCs w:val="20"/>
          <w:lang w:val="en-US"/>
        </w:rPr>
        <w:t xml:space="preserve">urvey carried out by UNESCO and the International Federation of Journalists </w:t>
      </w:r>
      <w:r w:rsidR="00041B84" w:rsidRPr="009B0EA6">
        <w:rPr>
          <w:sz w:val="22"/>
          <w:szCs w:val="20"/>
          <w:lang w:val="en-US"/>
        </w:rPr>
        <w:t>among 900 journalists from 130 countries</w:t>
      </w:r>
      <w:r w:rsidR="0055651D">
        <w:rPr>
          <w:sz w:val="22"/>
          <w:szCs w:val="20"/>
          <w:lang w:val="en-US"/>
        </w:rPr>
        <w:t xml:space="preserve"> </w:t>
      </w:r>
      <w:r w:rsidR="00983DC8">
        <w:rPr>
          <w:sz w:val="22"/>
          <w:szCs w:val="20"/>
          <w:lang w:val="en-US"/>
        </w:rPr>
        <w:t xml:space="preserve">in March 2024 </w:t>
      </w:r>
      <w:r w:rsidR="0055651D">
        <w:rPr>
          <w:sz w:val="22"/>
          <w:szCs w:val="20"/>
          <w:lang w:val="en-US"/>
        </w:rPr>
        <w:t xml:space="preserve">supported these </w:t>
      </w:r>
      <w:r w:rsidR="00FF6BD3">
        <w:rPr>
          <w:sz w:val="22"/>
          <w:szCs w:val="20"/>
          <w:lang w:val="en-US"/>
        </w:rPr>
        <w:t>trends. It</w:t>
      </w:r>
      <w:r w:rsidR="001A7281" w:rsidRPr="009B0EA6">
        <w:rPr>
          <w:sz w:val="22"/>
          <w:szCs w:val="20"/>
          <w:lang w:val="en-US"/>
        </w:rPr>
        <w:t xml:space="preserve"> </w:t>
      </w:r>
      <w:r w:rsidR="00041B84" w:rsidRPr="009B0EA6">
        <w:rPr>
          <w:sz w:val="22"/>
          <w:szCs w:val="20"/>
          <w:lang w:val="en-US"/>
        </w:rPr>
        <w:t xml:space="preserve">showed that </w:t>
      </w:r>
      <w:r w:rsidR="0055651D">
        <w:rPr>
          <w:sz w:val="22"/>
          <w:szCs w:val="20"/>
          <w:lang w:val="en-US"/>
        </w:rPr>
        <w:t>o</w:t>
      </w:r>
      <w:r w:rsidR="0055651D" w:rsidRPr="0055651D">
        <w:rPr>
          <w:sz w:val="22"/>
          <w:szCs w:val="20"/>
          <w:lang w:val="en-US"/>
        </w:rPr>
        <w:t>ver 70% of journalists surveyed reported being subject to attacks, threats or pressure while covering environmental issues</w:t>
      </w:r>
      <w:r w:rsidR="00FF6BD3">
        <w:rPr>
          <w:sz w:val="22"/>
          <w:szCs w:val="20"/>
          <w:lang w:val="en-US"/>
        </w:rPr>
        <w:t>. O</w:t>
      </w:r>
      <w:r w:rsidR="00041B84" w:rsidRPr="009B0EA6">
        <w:rPr>
          <w:sz w:val="22"/>
          <w:szCs w:val="20"/>
          <w:lang w:val="en-US"/>
        </w:rPr>
        <w:t>ut of all the journalists reporting being subject to attacks while reporting on environmental issues, a quarter said they had been legally attacked</w:t>
      </w:r>
      <w:r w:rsidR="001A7281" w:rsidRPr="009B0EA6">
        <w:rPr>
          <w:sz w:val="22"/>
          <w:szCs w:val="20"/>
          <w:lang w:val="en-US"/>
        </w:rPr>
        <w:t xml:space="preserve"> through i.e. lawsuits against public participation or defamation allegations</w:t>
      </w:r>
      <w:r w:rsidR="00041B84" w:rsidRPr="009B0EA6">
        <w:rPr>
          <w:sz w:val="22"/>
          <w:szCs w:val="20"/>
          <w:lang w:val="en-US"/>
        </w:rPr>
        <w:t>.</w:t>
      </w:r>
    </w:p>
    <w:p w14:paraId="6DDF45A7" w14:textId="6C6C3203" w:rsidR="00703678" w:rsidRDefault="00703678" w:rsidP="00511C57">
      <w:pPr>
        <w:jc w:val="both"/>
        <w:rPr>
          <w:sz w:val="22"/>
          <w:szCs w:val="20"/>
          <w:lang w:val="en-US"/>
        </w:rPr>
      </w:pPr>
      <w:r>
        <w:rPr>
          <w:sz w:val="22"/>
          <w:szCs w:val="20"/>
          <w:lang w:val="en-US"/>
        </w:rPr>
        <w:t>These threats weaken</w:t>
      </w:r>
      <w:r w:rsidR="00496293">
        <w:rPr>
          <w:sz w:val="22"/>
          <w:szCs w:val="20"/>
          <w:lang w:val="en-US"/>
        </w:rPr>
        <w:t xml:space="preserve"> the role of journalists as watchdogs of democracy and reduce their ability to hold the powerful to account</w:t>
      </w:r>
      <w:r w:rsidR="00046962">
        <w:rPr>
          <w:sz w:val="22"/>
          <w:szCs w:val="20"/>
          <w:lang w:val="en-US"/>
        </w:rPr>
        <w:t>;</w:t>
      </w:r>
      <w:r w:rsidR="00496293">
        <w:rPr>
          <w:sz w:val="22"/>
          <w:szCs w:val="20"/>
          <w:lang w:val="en-US"/>
        </w:rPr>
        <w:t xml:space="preserve"> while censorship can erode people’s trust in journalism</w:t>
      </w:r>
      <w:r w:rsidR="004E5677">
        <w:rPr>
          <w:sz w:val="22"/>
          <w:szCs w:val="20"/>
          <w:lang w:val="en-US"/>
        </w:rPr>
        <w:t xml:space="preserve"> and hamper citizens’ access to verified information</w:t>
      </w:r>
      <w:r w:rsidR="00E16995">
        <w:rPr>
          <w:sz w:val="22"/>
          <w:szCs w:val="20"/>
          <w:lang w:val="en-US"/>
        </w:rPr>
        <w:t>, creating a vacuum conducive to the proliferation of dis-/misinformation and affecting</w:t>
      </w:r>
      <w:r w:rsidR="00896929">
        <w:rPr>
          <w:sz w:val="22"/>
          <w:szCs w:val="20"/>
          <w:lang w:val="en-US"/>
        </w:rPr>
        <w:t xml:space="preserve"> the full exercise of the right to freedom of expression</w:t>
      </w:r>
      <w:r w:rsidR="00EF7D66">
        <w:rPr>
          <w:sz w:val="22"/>
          <w:szCs w:val="20"/>
          <w:lang w:val="en-US"/>
        </w:rPr>
        <w:t xml:space="preserve"> of all</w:t>
      </w:r>
      <w:r w:rsidR="00E16995">
        <w:rPr>
          <w:sz w:val="22"/>
          <w:szCs w:val="20"/>
          <w:lang w:val="en-US"/>
        </w:rPr>
        <w:t>.</w:t>
      </w:r>
    </w:p>
    <w:p w14:paraId="39D2E34D" w14:textId="77777777" w:rsidR="0048542B" w:rsidRDefault="00404CD0" w:rsidP="0048542B">
      <w:pPr>
        <w:jc w:val="both"/>
        <w:rPr>
          <w:b/>
          <w:bCs/>
          <w:sz w:val="22"/>
          <w:szCs w:val="20"/>
          <w:lang w:val="en-US"/>
        </w:rPr>
      </w:pPr>
      <w:r>
        <w:rPr>
          <w:b/>
          <w:bCs/>
          <w:sz w:val="22"/>
          <w:szCs w:val="20"/>
          <w:lang w:val="en-US"/>
        </w:rPr>
        <w:t>A thematic Call with a focus on defending environmental journalism</w:t>
      </w:r>
    </w:p>
    <w:p w14:paraId="63F5AE6C" w14:textId="0A3DF409" w:rsidR="00BA42D1" w:rsidRDefault="00E23AD6" w:rsidP="00BA42D1">
      <w:pPr>
        <w:jc w:val="both"/>
        <w:rPr>
          <w:rFonts w:eastAsia="Arial Unicode MS"/>
          <w:sz w:val="22"/>
          <w:szCs w:val="22"/>
          <w:lang w:val="en-US"/>
        </w:rPr>
      </w:pPr>
      <w:r>
        <w:rPr>
          <w:rFonts w:eastAsia="Arial Unicode MS"/>
          <w:sz w:val="22"/>
          <w:szCs w:val="22"/>
          <w:lang w:val="en-US"/>
        </w:rPr>
        <w:t>This Call for Partnerships has a special focus on defen</w:t>
      </w:r>
      <w:r w:rsidR="005934FD">
        <w:rPr>
          <w:rFonts w:eastAsia="Arial Unicode MS"/>
          <w:sz w:val="22"/>
          <w:szCs w:val="22"/>
          <w:lang w:val="en-US"/>
        </w:rPr>
        <w:t>d</w:t>
      </w:r>
      <w:r>
        <w:rPr>
          <w:rFonts w:eastAsia="Arial Unicode MS"/>
          <w:sz w:val="22"/>
          <w:szCs w:val="22"/>
          <w:lang w:val="en-US"/>
        </w:rPr>
        <w:t xml:space="preserve">ing environmental journalism, and aims to advance </w:t>
      </w:r>
      <w:r w:rsidR="000B659E" w:rsidRPr="000B659E">
        <w:rPr>
          <w:rFonts w:eastAsia="Arial Unicode MS"/>
          <w:sz w:val="22"/>
          <w:szCs w:val="22"/>
          <w:lang w:val="en-US"/>
        </w:rPr>
        <w:t xml:space="preserve">the UNESCO Global Roadmap for Information as a public good in the face of the environmental crisis. The Roadmap seeks to address various aspects </w:t>
      </w:r>
      <w:r w:rsidR="0048542B">
        <w:rPr>
          <w:rFonts w:eastAsia="Arial Unicode MS"/>
          <w:sz w:val="22"/>
          <w:szCs w:val="22"/>
          <w:lang w:val="en-US"/>
        </w:rPr>
        <w:t xml:space="preserve">relevant </w:t>
      </w:r>
      <w:r w:rsidR="000B659E" w:rsidRPr="000B659E">
        <w:rPr>
          <w:rFonts w:eastAsia="Arial Unicode MS"/>
          <w:sz w:val="22"/>
          <w:szCs w:val="22"/>
          <w:lang w:val="en-US"/>
        </w:rPr>
        <w:t xml:space="preserve">to promoting </w:t>
      </w:r>
      <w:r w:rsidR="0048542B">
        <w:rPr>
          <w:rFonts w:eastAsia="Arial Unicode MS"/>
          <w:sz w:val="22"/>
          <w:szCs w:val="22"/>
          <w:lang w:val="en-US"/>
        </w:rPr>
        <w:t xml:space="preserve">the </w:t>
      </w:r>
      <w:r w:rsidR="000B659E" w:rsidRPr="000B659E">
        <w:rPr>
          <w:rFonts w:eastAsia="Arial Unicode MS"/>
          <w:sz w:val="22"/>
          <w:szCs w:val="22"/>
          <w:lang w:val="en-US"/>
        </w:rPr>
        <w:t xml:space="preserve">safety of journalists </w:t>
      </w:r>
      <w:r w:rsidR="009A0B80">
        <w:rPr>
          <w:rFonts w:eastAsia="Arial Unicode MS"/>
          <w:sz w:val="22"/>
          <w:szCs w:val="22"/>
          <w:lang w:val="en-US"/>
        </w:rPr>
        <w:t>working on the coverage of</w:t>
      </w:r>
      <w:r w:rsidR="000B659E" w:rsidRPr="000B659E">
        <w:rPr>
          <w:rFonts w:eastAsia="Arial Unicode MS"/>
          <w:sz w:val="22"/>
          <w:szCs w:val="22"/>
          <w:lang w:val="en-US"/>
        </w:rPr>
        <w:t xml:space="preserve"> environmental issues</w:t>
      </w:r>
      <w:r w:rsidR="0048542B">
        <w:rPr>
          <w:rFonts w:eastAsia="Arial Unicode MS"/>
          <w:sz w:val="22"/>
          <w:szCs w:val="22"/>
          <w:lang w:val="en-US"/>
        </w:rPr>
        <w:t>,</w:t>
      </w:r>
      <w:r w:rsidR="000B659E" w:rsidRPr="000B659E">
        <w:rPr>
          <w:rFonts w:eastAsia="Arial Unicode MS"/>
          <w:sz w:val="22"/>
          <w:szCs w:val="22"/>
          <w:lang w:val="en-US"/>
        </w:rPr>
        <w:t xml:space="preserve"> as well as to advance information integrity, including </w:t>
      </w:r>
      <w:r w:rsidR="00BA42D1">
        <w:rPr>
          <w:rFonts w:eastAsia="Arial Unicode MS"/>
          <w:sz w:val="22"/>
          <w:szCs w:val="22"/>
          <w:lang w:val="en-US"/>
        </w:rPr>
        <w:t xml:space="preserve">by </w:t>
      </w:r>
      <w:r w:rsidR="000B659E" w:rsidRPr="000B659E">
        <w:rPr>
          <w:rFonts w:eastAsia="Arial Unicode MS"/>
          <w:sz w:val="22"/>
          <w:szCs w:val="22"/>
          <w:lang w:val="en-US"/>
        </w:rPr>
        <w:t>countering disinformation on climate change</w:t>
      </w:r>
      <w:r w:rsidR="00646CA1">
        <w:rPr>
          <w:rFonts w:eastAsia="Arial Unicode MS"/>
          <w:sz w:val="22"/>
          <w:szCs w:val="22"/>
          <w:lang w:val="en-US"/>
        </w:rPr>
        <w:t>.</w:t>
      </w:r>
    </w:p>
    <w:p w14:paraId="0043E6DD" w14:textId="27527CEE" w:rsidR="000B659E" w:rsidRDefault="00BA42D1" w:rsidP="00BA42D1">
      <w:pPr>
        <w:jc w:val="both"/>
        <w:rPr>
          <w:rFonts w:eastAsia="Arial Unicode MS"/>
          <w:sz w:val="22"/>
          <w:szCs w:val="22"/>
          <w:lang w:val="en-US"/>
        </w:rPr>
      </w:pPr>
      <w:r>
        <w:rPr>
          <w:rFonts w:eastAsia="Arial Unicode MS"/>
          <w:sz w:val="22"/>
          <w:szCs w:val="22"/>
          <w:lang w:val="en-US"/>
        </w:rPr>
        <w:t>Announced at the 2024 World Press Freedom Day Conference in Santiago de Chile, the Roadm</w:t>
      </w:r>
      <w:r w:rsidR="00322C18">
        <w:rPr>
          <w:rFonts w:eastAsia="Arial Unicode MS"/>
          <w:sz w:val="22"/>
          <w:szCs w:val="22"/>
          <w:lang w:val="en-US"/>
        </w:rPr>
        <w:t xml:space="preserve">ap </w:t>
      </w:r>
      <w:r w:rsidRPr="00BA42D1">
        <w:rPr>
          <w:rFonts w:eastAsia="Arial Unicode MS"/>
          <w:sz w:val="22"/>
          <w:szCs w:val="22"/>
          <w:lang w:val="en-US"/>
        </w:rPr>
        <w:t>looks at the roles that governments, the media, academia and researchers, the culture sector, civil society, and digital platforms can play to ensure:</w:t>
      </w:r>
    </w:p>
    <w:p w14:paraId="07F7824A" w14:textId="6A9C735A" w:rsidR="00BA42D1" w:rsidRPr="004E3215" w:rsidRDefault="004E3215" w:rsidP="00BA42D1">
      <w:pPr>
        <w:pStyle w:val="ListParagraph"/>
        <w:numPr>
          <w:ilvl w:val="0"/>
          <w:numId w:val="33"/>
        </w:numPr>
        <w:jc w:val="both"/>
        <w:rPr>
          <w:b/>
          <w:bCs/>
          <w:sz w:val="22"/>
          <w:szCs w:val="20"/>
          <w:lang w:val="en-US"/>
        </w:rPr>
      </w:pPr>
      <w:r>
        <w:rPr>
          <w:sz w:val="22"/>
          <w:szCs w:val="20"/>
          <w:lang w:val="en-US"/>
        </w:rPr>
        <w:t>The economic viability of environmental journalism, and provide safety measures;</w:t>
      </w:r>
    </w:p>
    <w:p w14:paraId="3175CD3F" w14:textId="2014ACE5" w:rsidR="004E3215" w:rsidRPr="004E3215" w:rsidRDefault="004E3215" w:rsidP="00BA42D1">
      <w:pPr>
        <w:pStyle w:val="ListParagraph"/>
        <w:numPr>
          <w:ilvl w:val="0"/>
          <w:numId w:val="33"/>
        </w:numPr>
        <w:jc w:val="both"/>
        <w:rPr>
          <w:b/>
          <w:bCs/>
          <w:sz w:val="22"/>
          <w:szCs w:val="20"/>
          <w:lang w:val="en-US"/>
        </w:rPr>
      </w:pPr>
      <w:r>
        <w:rPr>
          <w:sz w:val="22"/>
          <w:szCs w:val="20"/>
          <w:lang w:val="en-US"/>
        </w:rPr>
        <w:t>The safety and legal defense of environmental journalists;</w:t>
      </w:r>
    </w:p>
    <w:p w14:paraId="09288F98" w14:textId="0473D5AB" w:rsidR="00CF2198" w:rsidRPr="00CF2198" w:rsidRDefault="00CF2198" w:rsidP="00CF2198">
      <w:pPr>
        <w:pStyle w:val="ListParagraph"/>
        <w:numPr>
          <w:ilvl w:val="0"/>
          <w:numId w:val="33"/>
        </w:numPr>
        <w:jc w:val="both"/>
        <w:rPr>
          <w:b/>
          <w:bCs/>
          <w:sz w:val="22"/>
          <w:szCs w:val="20"/>
          <w:lang w:val="en-US"/>
        </w:rPr>
      </w:pPr>
      <w:r>
        <w:rPr>
          <w:sz w:val="22"/>
          <w:szCs w:val="20"/>
          <w:lang w:val="en-US"/>
        </w:rPr>
        <w:t>The access to public environmental information;</w:t>
      </w:r>
    </w:p>
    <w:p w14:paraId="30F4B8C0" w14:textId="3363F0B5" w:rsidR="00CF2198" w:rsidRPr="00CF2198" w:rsidRDefault="00CF2198" w:rsidP="00CF2198">
      <w:pPr>
        <w:pStyle w:val="ListParagraph"/>
        <w:numPr>
          <w:ilvl w:val="0"/>
          <w:numId w:val="33"/>
        </w:numPr>
        <w:jc w:val="both"/>
        <w:rPr>
          <w:b/>
          <w:bCs/>
          <w:sz w:val="22"/>
          <w:szCs w:val="20"/>
          <w:lang w:val="en-US"/>
        </w:rPr>
      </w:pPr>
      <w:r>
        <w:rPr>
          <w:sz w:val="22"/>
          <w:szCs w:val="20"/>
          <w:lang w:val="en-US"/>
        </w:rPr>
        <w:t>Stronger media institutions in climate action, disaster preparedness and response;</w:t>
      </w:r>
    </w:p>
    <w:p w14:paraId="32ED0A5D" w14:textId="4155F61F" w:rsidR="00CF2198" w:rsidRPr="003676EB" w:rsidRDefault="00CF2198" w:rsidP="00CF2198">
      <w:pPr>
        <w:pStyle w:val="ListParagraph"/>
        <w:numPr>
          <w:ilvl w:val="0"/>
          <w:numId w:val="33"/>
        </w:numPr>
        <w:jc w:val="both"/>
        <w:rPr>
          <w:b/>
          <w:bCs/>
          <w:sz w:val="22"/>
          <w:szCs w:val="20"/>
          <w:lang w:val="en-US"/>
        </w:rPr>
      </w:pPr>
      <w:r>
        <w:rPr>
          <w:sz w:val="22"/>
          <w:szCs w:val="20"/>
          <w:lang w:val="en-US"/>
        </w:rPr>
        <w:t xml:space="preserve">A human rights-based and multistakeholder approach to the governance of digital platforms; </w:t>
      </w:r>
    </w:p>
    <w:p w14:paraId="3D4C7511" w14:textId="5CFCC72A" w:rsidR="00EB0880" w:rsidRPr="00FE30CD" w:rsidRDefault="00FE30CD" w:rsidP="00FE30CD">
      <w:pPr>
        <w:pStyle w:val="ListParagraph"/>
        <w:numPr>
          <w:ilvl w:val="0"/>
          <w:numId w:val="33"/>
        </w:numPr>
        <w:jc w:val="both"/>
        <w:rPr>
          <w:sz w:val="22"/>
          <w:szCs w:val="20"/>
          <w:lang w:val="en-US"/>
        </w:rPr>
      </w:pPr>
      <w:r w:rsidRPr="00FE30CD">
        <w:rPr>
          <w:sz w:val="22"/>
          <w:szCs w:val="20"/>
          <w:lang w:val="en-US"/>
        </w:rPr>
        <w:t>Media and information literacy capacities that enable people to recognize and value, as well as defend and demand journalism as a vital part of information as a public good.</w:t>
      </w:r>
    </w:p>
    <w:p w14:paraId="688E55A4" w14:textId="0D8539AD" w:rsidR="00C250F4" w:rsidRDefault="00C250F4" w:rsidP="00EB0880">
      <w:pPr>
        <w:rPr>
          <w:rFonts w:eastAsia="Arial Unicode MS"/>
          <w:sz w:val="22"/>
          <w:szCs w:val="22"/>
          <w:lang w:val="en-US"/>
        </w:rPr>
      </w:pPr>
      <w:r>
        <w:rPr>
          <w:rFonts w:eastAsia="Arial Unicode MS"/>
          <w:sz w:val="22"/>
          <w:szCs w:val="22"/>
          <w:lang w:val="en-US"/>
        </w:rPr>
        <w:t xml:space="preserve">One of the key goals of the Roadmap is to </w:t>
      </w:r>
      <w:r w:rsidR="00DB57D2">
        <w:rPr>
          <w:rFonts w:eastAsia="Arial Unicode MS"/>
          <w:sz w:val="22"/>
          <w:szCs w:val="22"/>
          <w:lang w:val="en-US"/>
        </w:rPr>
        <w:t xml:space="preserve">enhance legal support and </w:t>
      </w:r>
      <w:r w:rsidR="00E7407D">
        <w:rPr>
          <w:rFonts w:eastAsia="Arial Unicode MS"/>
          <w:sz w:val="22"/>
          <w:szCs w:val="22"/>
          <w:lang w:val="en-US"/>
        </w:rPr>
        <w:t xml:space="preserve">defense for journalists, particularly to </w:t>
      </w:r>
      <w:r w:rsidR="00E7407D" w:rsidRPr="00E7407D">
        <w:rPr>
          <w:rFonts w:eastAsia="Arial Unicode MS"/>
          <w:sz w:val="22"/>
          <w:szCs w:val="22"/>
          <w:lang w:val="en-US"/>
        </w:rPr>
        <w:t>combat Strategic Lawsuits Against Public Participation (SLAPPs).</w:t>
      </w:r>
      <w:r w:rsidR="00B72721" w:rsidRPr="00B72721">
        <w:rPr>
          <w:lang w:val="en-US"/>
        </w:rPr>
        <w:t xml:space="preserve"> </w:t>
      </w:r>
      <w:r w:rsidR="00B72721" w:rsidRPr="00B72721">
        <w:rPr>
          <w:rFonts w:eastAsia="Arial Unicode MS"/>
          <w:sz w:val="22"/>
          <w:szCs w:val="22"/>
          <w:lang w:val="en-US"/>
        </w:rPr>
        <w:t>This includes support</w:t>
      </w:r>
      <w:r w:rsidR="00B72721">
        <w:rPr>
          <w:rFonts w:eastAsia="Arial Unicode MS"/>
          <w:sz w:val="22"/>
          <w:szCs w:val="22"/>
          <w:lang w:val="en-US"/>
        </w:rPr>
        <w:t xml:space="preserve"> to</w:t>
      </w:r>
      <w:r w:rsidR="00B72721" w:rsidRPr="00B72721">
        <w:rPr>
          <w:rFonts w:eastAsia="Arial Unicode MS"/>
          <w:sz w:val="22"/>
          <w:szCs w:val="22"/>
          <w:lang w:val="en-US"/>
        </w:rPr>
        <w:t xml:space="preserve"> legal professionals, civil society organizations, and investigative journalists who are dedicated to addressing environmental issues</w:t>
      </w:r>
      <w:r w:rsidR="00B72721">
        <w:rPr>
          <w:rFonts w:eastAsia="Arial Unicode MS"/>
          <w:sz w:val="22"/>
          <w:szCs w:val="22"/>
          <w:lang w:val="en-US"/>
        </w:rPr>
        <w:t xml:space="preserve"> –</w:t>
      </w:r>
      <w:r w:rsidR="00B72721" w:rsidRPr="00B72721">
        <w:rPr>
          <w:rFonts w:eastAsia="Arial Unicode MS"/>
          <w:sz w:val="22"/>
          <w:szCs w:val="22"/>
          <w:lang w:val="en-US"/>
        </w:rPr>
        <w:t xml:space="preserve"> including climate change.</w:t>
      </w:r>
    </w:p>
    <w:p w14:paraId="4977AEB3" w14:textId="3806FFB4" w:rsidR="00EB0880" w:rsidRPr="005F7677" w:rsidRDefault="00EB0880" w:rsidP="00511C57">
      <w:pPr>
        <w:jc w:val="both"/>
        <w:rPr>
          <w:rFonts w:eastAsia="Arial Unicode MS"/>
          <w:sz w:val="22"/>
          <w:szCs w:val="22"/>
          <w:lang w:val="en-GB"/>
        </w:rPr>
      </w:pPr>
      <w:r>
        <w:rPr>
          <w:rFonts w:eastAsia="Arial Unicode MS"/>
          <w:sz w:val="22"/>
          <w:szCs w:val="22"/>
          <w:lang w:val="en-GB"/>
        </w:rPr>
        <w:t xml:space="preserve">Another goal </w:t>
      </w:r>
      <w:r w:rsidR="004F3C0A">
        <w:rPr>
          <w:rFonts w:eastAsia="Arial Unicode MS"/>
          <w:sz w:val="22"/>
          <w:szCs w:val="22"/>
          <w:lang w:val="en-GB"/>
        </w:rPr>
        <w:t xml:space="preserve">of the Roadmap </w:t>
      </w:r>
      <w:r>
        <w:rPr>
          <w:rFonts w:eastAsia="Arial Unicode MS"/>
          <w:sz w:val="22"/>
          <w:szCs w:val="22"/>
          <w:lang w:val="en-GB"/>
        </w:rPr>
        <w:t>is to s</w:t>
      </w:r>
      <w:r w:rsidRPr="003B3767">
        <w:rPr>
          <w:rFonts w:eastAsia="Arial Unicode MS"/>
          <w:sz w:val="22"/>
          <w:szCs w:val="22"/>
          <w:lang w:val="en-GB"/>
        </w:rPr>
        <w:t>upport environmental journalists by funding investigative journalism focused on crimes against them</w:t>
      </w:r>
      <w:r w:rsidR="00772E57">
        <w:rPr>
          <w:rFonts w:eastAsia="Arial Unicode MS"/>
          <w:sz w:val="22"/>
          <w:szCs w:val="22"/>
          <w:lang w:val="en-GB"/>
        </w:rPr>
        <w:t xml:space="preserve">, </w:t>
      </w:r>
      <w:r w:rsidR="0032243F">
        <w:rPr>
          <w:rFonts w:eastAsia="Arial Unicode MS"/>
          <w:sz w:val="22"/>
          <w:szCs w:val="22"/>
          <w:lang w:val="en-GB"/>
        </w:rPr>
        <w:t>and</w:t>
      </w:r>
      <w:r w:rsidR="00772E57">
        <w:rPr>
          <w:rFonts w:eastAsia="Arial Unicode MS"/>
          <w:sz w:val="22"/>
          <w:szCs w:val="22"/>
          <w:lang w:val="en-GB"/>
        </w:rPr>
        <w:t xml:space="preserve"> strengthening the implementation of the UN Plan of Action </w:t>
      </w:r>
      <w:r w:rsidRPr="003B3767">
        <w:rPr>
          <w:rFonts w:eastAsia="Arial Unicode MS"/>
          <w:sz w:val="22"/>
          <w:szCs w:val="22"/>
          <w:lang w:val="en-GB"/>
        </w:rPr>
        <w:t xml:space="preserve">by upscaling the focus on addressing specific aspects of violence against journalists and media outlets reporting on environmental issues. </w:t>
      </w:r>
    </w:p>
    <w:p w14:paraId="6CB1F8D4" w14:textId="4ADD05D3" w:rsidR="004A731D" w:rsidRPr="004A731D" w:rsidRDefault="0082229E" w:rsidP="00F94C7D">
      <w:pPr>
        <w:jc w:val="both"/>
        <w:rPr>
          <w:b/>
          <w:bCs/>
          <w:sz w:val="22"/>
          <w:szCs w:val="20"/>
          <w:lang w:val="en-US"/>
        </w:rPr>
      </w:pPr>
      <w:r w:rsidRPr="004A731D">
        <w:rPr>
          <w:b/>
          <w:bCs/>
          <w:sz w:val="22"/>
          <w:szCs w:val="20"/>
          <w:lang w:val="en-US"/>
        </w:rPr>
        <w:t xml:space="preserve">The objective of this thematic Call for Partnerships is </w:t>
      </w:r>
      <w:r w:rsidR="00992524" w:rsidRPr="004A731D">
        <w:rPr>
          <w:b/>
          <w:bCs/>
          <w:sz w:val="22"/>
          <w:szCs w:val="20"/>
          <w:lang w:val="en-US"/>
        </w:rPr>
        <w:t xml:space="preserve">providing financial support to </w:t>
      </w:r>
      <w:r w:rsidR="00F94C7D" w:rsidRPr="004A731D">
        <w:rPr>
          <w:b/>
          <w:bCs/>
          <w:sz w:val="22"/>
          <w:szCs w:val="20"/>
          <w:lang w:val="en-US"/>
        </w:rPr>
        <w:t>local, regional, and global projects that, in line with international standards, contribute</w:t>
      </w:r>
      <w:r w:rsidR="008F0819" w:rsidRPr="004A731D">
        <w:rPr>
          <w:b/>
          <w:bCs/>
          <w:sz w:val="22"/>
          <w:szCs w:val="20"/>
          <w:lang w:val="en-US"/>
        </w:rPr>
        <w:t xml:space="preserve"> to</w:t>
      </w:r>
      <w:r w:rsidR="0061646D">
        <w:rPr>
          <w:b/>
          <w:bCs/>
          <w:sz w:val="22"/>
          <w:szCs w:val="20"/>
          <w:lang w:val="en-US"/>
        </w:rPr>
        <w:t xml:space="preserve"> defending environmental journalism by</w:t>
      </w:r>
      <w:r w:rsidR="008F0819" w:rsidRPr="004A731D">
        <w:rPr>
          <w:b/>
          <w:bCs/>
          <w:sz w:val="22"/>
          <w:szCs w:val="20"/>
          <w:lang w:val="en-US"/>
        </w:rPr>
        <w:t xml:space="preserve"> </w:t>
      </w:r>
      <w:r w:rsidR="008F0819" w:rsidRPr="001446C0">
        <w:rPr>
          <w:b/>
          <w:bCs/>
          <w:sz w:val="22"/>
          <w:szCs w:val="20"/>
          <w:lang w:val="en-US"/>
        </w:rPr>
        <w:t xml:space="preserve">bolstering the legal protection of </w:t>
      </w:r>
      <w:r w:rsidR="00F94C7D" w:rsidRPr="001446C0">
        <w:rPr>
          <w:b/>
          <w:bCs/>
          <w:sz w:val="22"/>
          <w:szCs w:val="20"/>
          <w:lang w:val="en-US"/>
        </w:rPr>
        <w:t xml:space="preserve">environmental </w:t>
      </w:r>
      <w:r w:rsidR="00F94C7D" w:rsidRPr="001446C0">
        <w:rPr>
          <w:b/>
          <w:bCs/>
          <w:sz w:val="22"/>
          <w:szCs w:val="20"/>
          <w:lang w:val="en-US"/>
        </w:rPr>
        <w:lastRenderedPageBreak/>
        <w:t xml:space="preserve">journalists </w:t>
      </w:r>
      <w:r w:rsidR="008F0819" w:rsidRPr="001446C0">
        <w:rPr>
          <w:b/>
          <w:bCs/>
          <w:sz w:val="22"/>
          <w:szCs w:val="20"/>
          <w:lang w:val="en-US"/>
        </w:rPr>
        <w:t xml:space="preserve">and/or </w:t>
      </w:r>
      <w:r w:rsidR="00717283" w:rsidRPr="001446C0">
        <w:rPr>
          <w:b/>
          <w:bCs/>
          <w:sz w:val="22"/>
          <w:szCs w:val="20"/>
          <w:lang w:val="en-US"/>
        </w:rPr>
        <w:t>reducing</w:t>
      </w:r>
      <w:r w:rsidR="008F0819" w:rsidRPr="001446C0">
        <w:rPr>
          <w:b/>
          <w:bCs/>
          <w:sz w:val="22"/>
          <w:szCs w:val="20"/>
          <w:lang w:val="en-US"/>
        </w:rPr>
        <w:t xml:space="preserve"> impunity </w:t>
      </w:r>
      <w:r w:rsidR="004C45E8">
        <w:rPr>
          <w:b/>
          <w:bCs/>
          <w:sz w:val="22"/>
          <w:szCs w:val="20"/>
          <w:lang w:val="en-US"/>
        </w:rPr>
        <w:t>related to cases of violence, threats and attacks</w:t>
      </w:r>
      <w:r w:rsidR="008F0819" w:rsidRPr="001446C0">
        <w:rPr>
          <w:b/>
          <w:bCs/>
          <w:sz w:val="22"/>
          <w:szCs w:val="20"/>
          <w:lang w:val="en-US"/>
        </w:rPr>
        <w:t xml:space="preserve"> </w:t>
      </w:r>
      <w:r w:rsidR="00717283" w:rsidRPr="001446C0">
        <w:rPr>
          <w:b/>
          <w:bCs/>
          <w:sz w:val="22"/>
          <w:szCs w:val="20"/>
          <w:lang w:val="en-US"/>
        </w:rPr>
        <w:t xml:space="preserve">against </w:t>
      </w:r>
      <w:r w:rsidR="00BD5DEC">
        <w:rPr>
          <w:b/>
          <w:bCs/>
          <w:sz w:val="22"/>
          <w:szCs w:val="20"/>
          <w:lang w:val="en-US"/>
        </w:rPr>
        <w:t>them, in line with</w:t>
      </w:r>
      <w:r w:rsidR="004D0802" w:rsidRPr="004A731D">
        <w:rPr>
          <w:b/>
          <w:bCs/>
          <w:sz w:val="22"/>
          <w:szCs w:val="20"/>
          <w:lang w:val="en-US"/>
        </w:rPr>
        <w:t xml:space="preserve"> </w:t>
      </w:r>
      <w:r w:rsidR="004D0802" w:rsidRPr="004A731D">
        <w:rPr>
          <w:b/>
          <w:bCs/>
          <w:sz w:val="22"/>
          <w:szCs w:val="20"/>
          <w:u w:val="single"/>
          <w:lang w:val="en-US"/>
        </w:rPr>
        <w:t xml:space="preserve">at least </w:t>
      </w:r>
      <w:r w:rsidR="00525ADA" w:rsidRPr="004A731D">
        <w:rPr>
          <w:b/>
          <w:bCs/>
          <w:sz w:val="22"/>
          <w:szCs w:val="20"/>
          <w:u w:val="single"/>
          <w:lang w:val="en-US"/>
        </w:rPr>
        <w:t>one</w:t>
      </w:r>
      <w:r w:rsidR="00525ADA" w:rsidRPr="004A731D">
        <w:rPr>
          <w:b/>
          <w:bCs/>
          <w:sz w:val="22"/>
          <w:szCs w:val="20"/>
          <w:lang w:val="en-US"/>
        </w:rPr>
        <w:t xml:space="preserve"> of the following GMDF Outputs:</w:t>
      </w:r>
    </w:p>
    <w:p w14:paraId="62F8696B" w14:textId="77777777" w:rsidR="00104C6F" w:rsidRPr="00104C6F" w:rsidRDefault="00104C6F" w:rsidP="00104C6F">
      <w:pPr>
        <w:pStyle w:val="FCsubtitle"/>
        <w:rPr>
          <w:b/>
          <w:bCs/>
          <w:sz w:val="22"/>
          <w:szCs w:val="22"/>
        </w:rPr>
      </w:pPr>
      <w:r w:rsidRPr="00104C6F">
        <w:rPr>
          <w:b/>
          <w:bCs/>
          <w:sz w:val="22"/>
          <w:szCs w:val="22"/>
        </w:rPr>
        <w:t>OUTPUT 2</w:t>
      </w:r>
    </w:p>
    <w:p w14:paraId="686FA617" w14:textId="57B5EFE3" w:rsidR="006D70B7" w:rsidRPr="004A731D" w:rsidRDefault="00104C6F" w:rsidP="00104C6F">
      <w:pPr>
        <w:jc w:val="both"/>
        <w:rPr>
          <w:sz w:val="22"/>
          <w:szCs w:val="22"/>
          <w:lang w:val="en-US"/>
        </w:rPr>
      </w:pPr>
      <w:r w:rsidRPr="004A731D">
        <w:rPr>
          <w:sz w:val="22"/>
          <w:szCs w:val="22"/>
          <w:lang w:val="en-US"/>
        </w:rPr>
        <w:t>Under Output 2, the GMDF seeks to support projects aimed at ensuring environmental journalists’ rapid access to legal assistance, bolstering their defense and enhancing their safety</w:t>
      </w:r>
      <w:r w:rsidR="006D70B7" w:rsidRPr="004A731D">
        <w:rPr>
          <w:sz w:val="22"/>
          <w:szCs w:val="22"/>
          <w:lang w:val="en-US"/>
        </w:rPr>
        <w:t>.</w:t>
      </w:r>
    </w:p>
    <w:p w14:paraId="63818BA4" w14:textId="701A6806" w:rsidR="00104C6F" w:rsidRPr="006D70B7" w:rsidRDefault="00104C6F" w:rsidP="00104C6F">
      <w:pPr>
        <w:jc w:val="both"/>
        <w:rPr>
          <w:b/>
          <w:bCs/>
          <w:sz w:val="22"/>
          <w:szCs w:val="22"/>
          <w:lang w:val="en-US"/>
        </w:rPr>
      </w:pPr>
      <w:r w:rsidRPr="00104C6F">
        <w:rPr>
          <w:sz w:val="22"/>
          <w:szCs w:val="22"/>
          <w:lang w:val="en-US"/>
        </w:rPr>
        <w:t xml:space="preserve">Projects supporting Output 2 may implement different activities, including </w:t>
      </w:r>
      <w:r w:rsidR="006D70B7">
        <w:rPr>
          <w:sz w:val="22"/>
          <w:szCs w:val="22"/>
          <w:u w:val="single"/>
          <w:lang w:val="en-US"/>
        </w:rPr>
        <w:t>but not limited to</w:t>
      </w:r>
      <w:r w:rsidR="006D70B7">
        <w:rPr>
          <w:sz w:val="22"/>
          <w:szCs w:val="22"/>
          <w:lang w:val="en-US"/>
        </w:rPr>
        <w:t>:</w:t>
      </w:r>
    </w:p>
    <w:p w14:paraId="7BD705D1" w14:textId="749A8825" w:rsidR="00104C6F" w:rsidRPr="00104C6F" w:rsidRDefault="00104C6F" w:rsidP="00104C6F">
      <w:pPr>
        <w:pStyle w:val="ListParagraph"/>
        <w:numPr>
          <w:ilvl w:val="0"/>
          <w:numId w:val="4"/>
        </w:numPr>
        <w:spacing w:line="259" w:lineRule="auto"/>
        <w:jc w:val="both"/>
        <w:rPr>
          <w:sz w:val="22"/>
          <w:szCs w:val="22"/>
          <w:lang w:val="en-US"/>
        </w:rPr>
      </w:pPr>
      <w:r w:rsidRPr="00104C6F">
        <w:rPr>
          <w:sz w:val="22"/>
          <w:szCs w:val="22"/>
          <w:lang w:val="en-US"/>
        </w:rPr>
        <w:t>Establishing, operationalizing and/or reinforcing mechanisms (legal units, legal protection teams, legal helplines, digital aid platform</w:t>
      </w:r>
      <w:r w:rsidR="0004246C">
        <w:rPr>
          <w:sz w:val="22"/>
          <w:szCs w:val="22"/>
          <w:lang w:val="en-US"/>
        </w:rPr>
        <w:t>s</w:t>
      </w:r>
      <w:r w:rsidRPr="00104C6F">
        <w:rPr>
          <w:sz w:val="22"/>
          <w:szCs w:val="22"/>
          <w:lang w:val="en-US"/>
        </w:rPr>
        <w:t>) t</w:t>
      </w:r>
      <w:r w:rsidR="006D70B7">
        <w:rPr>
          <w:sz w:val="22"/>
          <w:szCs w:val="22"/>
          <w:lang w:val="en-US"/>
        </w:rPr>
        <w:t>o</w:t>
      </w:r>
      <w:r w:rsidRPr="00104C6F">
        <w:rPr>
          <w:sz w:val="22"/>
          <w:szCs w:val="22"/>
          <w:lang w:val="en-US"/>
        </w:rPr>
        <w:t xml:space="preserve"> provide rapid, specialized and gender-sensitive legal assistance (including legal advice, legal representation, etc.) to</w:t>
      </w:r>
      <w:r w:rsidR="006D70B7">
        <w:rPr>
          <w:sz w:val="22"/>
          <w:szCs w:val="22"/>
          <w:lang w:val="en-US"/>
        </w:rPr>
        <w:t xml:space="preserve"> </w:t>
      </w:r>
      <w:r w:rsidRPr="00104C6F">
        <w:rPr>
          <w:sz w:val="22"/>
          <w:szCs w:val="22"/>
          <w:lang w:val="en-US"/>
        </w:rPr>
        <w:t>journalists and/or media outlets</w:t>
      </w:r>
      <w:r w:rsidR="003142BC">
        <w:rPr>
          <w:sz w:val="22"/>
          <w:szCs w:val="22"/>
          <w:lang w:val="en-US"/>
        </w:rPr>
        <w:t xml:space="preserve"> </w:t>
      </w:r>
      <w:r w:rsidRPr="00104C6F">
        <w:rPr>
          <w:sz w:val="22"/>
          <w:szCs w:val="22"/>
          <w:lang w:val="en-US"/>
        </w:rPr>
        <w:t xml:space="preserve">facing attacks, threats, </w:t>
      </w:r>
      <w:r w:rsidR="00B66713">
        <w:rPr>
          <w:sz w:val="22"/>
          <w:szCs w:val="22"/>
          <w:lang w:val="en-US"/>
        </w:rPr>
        <w:t>pressures, restrictions</w:t>
      </w:r>
      <w:r w:rsidRPr="00104C6F">
        <w:rPr>
          <w:sz w:val="22"/>
          <w:szCs w:val="22"/>
          <w:lang w:val="en-US"/>
        </w:rPr>
        <w:t xml:space="preserve">, and/or legal proceedings related to </w:t>
      </w:r>
      <w:r w:rsidR="003142BC">
        <w:rPr>
          <w:sz w:val="22"/>
          <w:szCs w:val="22"/>
          <w:lang w:val="en-US"/>
        </w:rPr>
        <w:t>their reporting on environmental issue</w:t>
      </w:r>
      <w:r w:rsidR="0004246C">
        <w:rPr>
          <w:sz w:val="22"/>
          <w:szCs w:val="22"/>
          <w:lang w:val="en-US"/>
        </w:rPr>
        <w:t>s</w:t>
      </w:r>
      <w:r w:rsidR="00C4104F">
        <w:rPr>
          <w:sz w:val="22"/>
          <w:szCs w:val="22"/>
          <w:lang w:val="en-US"/>
        </w:rPr>
        <w:t>;</w:t>
      </w:r>
    </w:p>
    <w:p w14:paraId="403264E5" w14:textId="4A163728" w:rsidR="00104C6F" w:rsidRPr="00104C6F" w:rsidRDefault="00104C6F" w:rsidP="00104C6F">
      <w:pPr>
        <w:pStyle w:val="ListParagraph"/>
        <w:numPr>
          <w:ilvl w:val="0"/>
          <w:numId w:val="4"/>
        </w:numPr>
        <w:spacing w:line="259" w:lineRule="auto"/>
        <w:jc w:val="both"/>
        <w:rPr>
          <w:sz w:val="22"/>
          <w:szCs w:val="22"/>
          <w:lang w:val="en-US"/>
        </w:rPr>
      </w:pPr>
      <w:r w:rsidRPr="00104C6F">
        <w:rPr>
          <w:sz w:val="22"/>
          <w:szCs w:val="22"/>
          <w:lang w:val="en-US"/>
        </w:rPr>
        <w:t>Foster</w:t>
      </w:r>
      <w:r w:rsidR="0004246C">
        <w:rPr>
          <w:sz w:val="22"/>
          <w:szCs w:val="22"/>
          <w:lang w:val="en-US"/>
        </w:rPr>
        <w:t>ing</w:t>
      </w:r>
      <w:r w:rsidRPr="00104C6F">
        <w:rPr>
          <w:sz w:val="22"/>
          <w:szCs w:val="22"/>
          <w:lang w:val="en-US"/>
        </w:rPr>
        <w:t xml:space="preserve"> the establishment</w:t>
      </w:r>
      <w:r w:rsidR="00A12366">
        <w:rPr>
          <w:sz w:val="22"/>
          <w:szCs w:val="22"/>
          <w:lang w:val="en-US"/>
        </w:rPr>
        <w:t xml:space="preserve"> of</w:t>
      </w:r>
      <w:r w:rsidRPr="00104C6F">
        <w:rPr>
          <w:sz w:val="22"/>
          <w:szCs w:val="22"/>
          <w:lang w:val="en-US"/>
        </w:rPr>
        <w:t xml:space="preserve"> </w:t>
      </w:r>
      <w:r w:rsidR="00A12366">
        <w:rPr>
          <w:sz w:val="22"/>
          <w:szCs w:val="22"/>
          <w:lang w:val="en-US"/>
        </w:rPr>
        <w:t>and/or establishing and operationalizing</w:t>
      </w:r>
      <w:r w:rsidRPr="00104C6F">
        <w:rPr>
          <w:sz w:val="22"/>
          <w:szCs w:val="22"/>
          <w:lang w:val="en-US"/>
        </w:rPr>
        <w:t xml:space="preserve"> sustainable media lawyers’ networks, legal aid organizations, or other initiatives aiming at enhancing </w:t>
      </w:r>
      <w:r w:rsidR="0004246C">
        <w:rPr>
          <w:sz w:val="22"/>
          <w:szCs w:val="22"/>
          <w:lang w:val="en-US"/>
        </w:rPr>
        <w:t xml:space="preserve">environmental </w:t>
      </w:r>
      <w:r w:rsidRPr="00104C6F">
        <w:rPr>
          <w:sz w:val="22"/>
          <w:szCs w:val="22"/>
          <w:lang w:val="en-US"/>
        </w:rPr>
        <w:t>journalists’ access to specialized legal assistance</w:t>
      </w:r>
      <w:r w:rsidR="00C4104F">
        <w:rPr>
          <w:sz w:val="22"/>
          <w:szCs w:val="22"/>
          <w:lang w:val="en-US"/>
        </w:rPr>
        <w:t>;</w:t>
      </w:r>
    </w:p>
    <w:p w14:paraId="340E120A" w14:textId="5AB8F688" w:rsidR="00104C6F" w:rsidRPr="00104C6F" w:rsidRDefault="00104C6F" w:rsidP="00104C6F">
      <w:pPr>
        <w:pStyle w:val="ListParagraph"/>
        <w:numPr>
          <w:ilvl w:val="0"/>
          <w:numId w:val="4"/>
        </w:numPr>
        <w:spacing w:line="259" w:lineRule="auto"/>
        <w:jc w:val="both"/>
        <w:rPr>
          <w:sz w:val="22"/>
          <w:szCs w:val="22"/>
          <w:lang w:val="en-US"/>
        </w:rPr>
      </w:pPr>
      <w:r w:rsidRPr="00104C6F">
        <w:rPr>
          <w:sz w:val="22"/>
          <w:szCs w:val="22"/>
          <w:lang w:val="en-US"/>
        </w:rPr>
        <w:t xml:space="preserve">Facilitating </w:t>
      </w:r>
      <w:r w:rsidR="0004246C">
        <w:rPr>
          <w:sz w:val="22"/>
          <w:szCs w:val="22"/>
          <w:lang w:val="en-US"/>
        </w:rPr>
        <w:t xml:space="preserve">environmental </w:t>
      </w:r>
      <w:r w:rsidRPr="00104C6F">
        <w:rPr>
          <w:sz w:val="22"/>
          <w:szCs w:val="22"/>
          <w:lang w:val="en-US"/>
        </w:rPr>
        <w:t>journalists’ access to verified, practical information to enhance their legal protection, taking into account the gendered nature of the threats/attacks against them</w:t>
      </w:r>
      <w:r w:rsidR="0004246C">
        <w:rPr>
          <w:sz w:val="22"/>
          <w:szCs w:val="22"/>
          <w:lang w:val="en-US"/>
        </w:rPr>
        <w:t>,</w:t>
      </w:r>
      <w:r w:rsidRPr="00104C6F">
        <w:rPr>
          <w:sz w:val="22"/>
          <w:szCs w:val="22"/>
          <w:lang w:val="en-US"/>
        </w:rPr>
        <w:t xml:space="preserve"> </w:t>
      </w:r>
      <w:r w:rsidR="0004246C">
        <w:rPr>
          <w:sz w:val="22"/>
          <w:szCs w:val="22"/>
          <w:lang w:val="en-US"/>
        </w:rPr>
        <w:t xml:space="preserve">as well as </w:t>
      </w:r>
      <w:r w:rsidRPr="00104C6F">
        <w:rPr>
          <w:sz w:val="22"/>
          <w:szCs w:val="22"/>
          <w:lang w:val="en-US"/>
        </w:rPr>
        <w:t xml:space="preserve">the </w:t>
      </w:r>
      <w:r w:rsidR="0004246C">
        <w:rPr>
          <w:sz w:val="22"/>
          <w:szCs w:val="22"/>
          <w:lang w:val="en-US"/>
        </w:rPr>
        <w:t xml:space="preserve">particularities of </w:t>
      </w:r>
      <w:r w:rsidR="00CC718C">
        <w:rPr>
          <w:sz w:val="22"/>
          <w:szCs w:val="22"/>
          <w:lang w:val="en-US"/>
        </w:rPr>
        <w:t>their</w:t>
      </w:r>
      <w:r w:rsidR="0004246C">
        <w:rPr>
          <w:sz w:val="22"/>
          <w:szCs w:val="22"/>
          <w:lang w:val="en-US"/>
        </w:rPr>
        <w:t xml:space="preserve"> </w:t>
      </w:r>
      <w:r w:rsidRPr="00104C6F">
        <w:rPr>
          <w:sz w:val="22"/>
          <w:szCs w:val="22"/>
          <w:lang w:val="en-US"/>
        </w:rPr>
        <w:t>local legal and media environments</w:t>
      </w:r>
      <w:r w:rsidR="00CC718C">
        <w:rPr>
          <w:sz w:val="22"/>
          <w:szCs w:val="22"/>
          <w:lang w:val="en-US"/>
        </w:rPr>
        <w:t xml:space="preserve"> and the specific risks and challenges they face due to the sensitive nature of their work</w:t>
      </w:r>
      <w:r w:rsidR="00C4104F">
        <w:rPr>
          <w:sz w:val="22"/>
          <w:szCs w:val="22"/>
          <w:lang w:val="en-US"/>
        </w:rPr>
        <w:t>;</w:t>
      </w:r>
    </w:p>
    <w:p w14:paraId="3B14CE48" w14:textId="4BC4B6D5" w:rsidR="003402C5" w:rsidRPr="00D874C6" w:rsidRDefault="00C25754" w:rsidP="00D874C6">
      <w:pPr>
        <w:pStyle w:val="ListParagraph"/>
        <w:numPr>
          <w:ilvl w:val="0"/>
          <w:numId w:val="4"/>
        </w:numPr>
        <w:spacing w:line="259" w:lineRule="auto"/>
        <w:jc w:val="both"/>
        <w:rPr>
          <w:sz w:val="22"/>
          <w:szCs w:val="22"/>
          <w:lang w:val="en-US"/>
        </w:rPr>
      </w:pPr>
      <w:r>
        <w:rPr>
          <w:sz w:val="22"/>
          <w:szCs w:val="22"/>
          <w:lang w:val="en-US"/>
        </w:rPr>
        <w:t xml:space="preserve">Setting up and operationalizing sustainable alert or warning mechanisms </w:t>
      </w:r>
      <w:r w:rsidR="00D108DA">
        <w:rPr>
          <w:sz w:val="22"/>
          <w:szCs w:val="22"/>
          <w:lang w:val="en-US"/>
        </w:rPr>
        <w:t>to</w:t>
      </w:r>
      <w:r w:rsidR="00D874C6" w:rsidRPr="00104C6F">
        <w:rPr>
          <w:sz w:val="22"/>
          <w:szCs w:val="22"/>
          <w:lang w:val="en-US"/>
        </w:rPr>
        <w:t xml:space="preserve"> identify </w:t>
      </w:r>
      <w:r w:rsidR="00D874C6">
        <w:rPr>
          <w:sz w:val="22"/>
          <w:szCs w:val="22"/>
          <w:lang w:val="en-US"/>
        </w:rPr>
        <w:t xml:space="preserve">environmental </w:t>
      </w:r>
      <w:r w:rsidR="00D874C6" w:rsidRPr="00104C6F">
        <w:rPr>
          <w:sz w:val="22"/>
          <w:szCs w:val="22"/>
          <w:lang w:val="en-US"/>
        </w:rPr>
        <w:t>journalists in need of legal defense</w:t>
      </w:r>
      <w:r w:rsidR="00D874C6">
        <w:rPr>
          <w:sz w:val="22"/>
          <w:szCs w:val="22"/>
          <w:lang w:val="en-US"/>
        </w:rPr>
        <w:t>,</w:t>
      </w:r>
      <w:r w:rsidR="00D874C6" w:rsidRPr="00104C6F">
        <w:rPr>
          <w:sz w:val="22"/>
          <w:szCs w:val="22"/>
          <w:lang w:val="en-US"/>
        </w:rPr>
        <w:t xml:space="preserve"> and</w:t>
      </w:r>
      <w:r w:rsidR="00D874C6">
        <w:rPr>
          <w:sz w:val="22"/>
          <w:szCs w:val="22"/>
          <w:lang w:val="en-US"/>
        </w:rPr>
        <w:t xml:space="preserve"> actively</w:t>
      </w:r>
      <w:r w:rsidR="00D874C6" w:rsidRPr="00104C6F">
        <w:rPr>
          <w:sz w:val="22"/>
          <w:szCs w:val="22"/>
          <w:lang w:val="en-US"/>
        </w:rPr>
        <w:t xml:space="preserve"> alerting the judiciary and security forces in charge of protection</w:t>
      </w:r>
      <w:r w:rsidR="00D874C6">
        <w:rPr>
          <w:sz w:val="22"/>
          <w:szCs w:val="22"/>
          <w:lang w:val="en-US"/>
        </w:rPr>
        <w:t xml:space="preserve"> of</w:t>
      </w:r>
      <w:r w:rsidR="00747E20">
        <w:rPr>
          <w:sz w:val="22"/>
          <w:szCs w:val="22"/>
          <w:lang w:val="en-US"/>
        </w:rPr>
        <w:t xml:space="preserve"> the</w:t>
      </w:r>
      <w:r w:rsidR="00D874C6">
        <w:rPr>
          <w:sz w:val="22"/>
          <w:szCs w:val="22"/>
          <w:lang w:val="en-US"/>
        </w:rPr>
        <w:t xml:space="preserve"> threats/attacks against them</w:t>
      </w:r>
      <w:r w:rsidR="00C4104F">
        <w:rPr>
          <w:sz w:val="22"/>
          <w:szCs w:val="22"/>
          <w:lang w:val="en-US"/>
        </w:rPr>
        <w:t>;</w:t>
      </w:r>
    </w:p>
    <w:p w14:paraId="118969EC" w14:textId="7AA01506" w:rsidR="00525ADA" w:rsidRDefault="00104C6F" w:rsidP="00F94C7D">
      <w:pPr>
        <w:pStyle w:val="ListParagraph"/>
        <w:numPr>
          <w:ilvl w:val="0"/>
          <w:numId w:val="4"/>
        </w:numPr>
        <w:spacing w:line="259" w:lineRule="auto"/>
        <w:jc w:val="both"/>
        <w:rPr>
          <w:sz w:val="22"/>
          <w:szCs w:val="22"/>
          <w:lang w:val="en-US"/>
        </w:rPr>
      </w:pPr>
      <w:r w:rsidRPr="00104C6F">
        <w:rPr>
          <w:sz w:val="22"/>
          <w:szCs w:val="22"/>
          <w:lang w:val="en-US"/>
        </w:rPr>
        <w:t xml:space="preserve">Establishing, operationalizing, and coordinating peer support networks to connect </w:t>
      </w:r>
      <w:r w:rsidR="00A2308F">
        <w:rPr>
          <w:sz w:val="22"/>
          <w:szCs w:val="22"/>
          <w:lang w:val="en-US"/>
        </w:rPr>
        <w:t xml:space="preserve">environmental </w:t>
      </w:r>
      <w:r w:rsidRPr="00104C6F">
        <w:rPr>
          <w:sz w:val="22"/>
          <w:szCs w:val="22"/>
          <w:lang w:val="en-US"/>
        </w:rPr>
        <w:t>journalists in need of legal assistance with relevant organizations providing legal services to journalists in a manner that effectively enhances the latter’s legal protection.</w:t>
      </w:r>
    </w:p>
    <w:p w14:paraId="677BBECA" w14:textId="77777777" w:rsidR="00E84E8D" w:rsidRPr="00E84E8D" w:rsidRDefault="00E84E8D" w:rsidP="00E84E8D">
      <w:pPr>
        <w:pStyle w:val="ListParagraph"/>
        <w:spacing w:line="259" w:lineRule="auto"/>
        <w:jc w:val="both"/>
        <w:rPr>
          <w:sz w:val="20"/>
          <w:szCs w:val="20"/>
          <w:lang w:val="en-US"/>
        </w:rPr>
      </w:pPr>
    </w:p>
    <w:p w14:paraId="0EE79D63" w14:textId="77777777" w:rsidR="00E84E8D" w:rsidRPr="00E84E8D" w:rsidRDefault="00E84E8D" w:rsidP="00E84E8D">
      <w:pPr>
        <w:pStyle w:val="FCsubtitle"/>
        <w:rPr>
          <w:b/>
          <w:bCs/>
          <w:sz w:val="22"/>
          <w:szCs w:val="16"/>
        </w:rPr>
      </w:pPr>
      <w:r w:rsidRPr="00E84E8D">
        <w:rPr>
          <w:b/>
          <w:bCs/>
          <w:sz w:val="22"/>
          <w:szCs w:val="16"/>
        </w:rPr>
        <w:t>OUTPUT 3</w:t>
      </w:r>
    </w:p>
    <w:p w14:paraId="668DA432" w14:textId="105C727C" w:rsidR="00E84E8D" w:rsidRPr="00373966" w:rsidRDefault="00E84E8D" w:rsidP="00E84E8D">
      <w:pPr>
        <w:jc w:val="both"/>
        <w:rPr>
          <w:sz w:val="22"/>
          <w:szCs w:val="22"/>
          <w:lang w:val="en-US"/>
        </w:rPr>
      </w:pPr>
      <w:r w:rsidRPr="00373966">
        <w:rPr>
          <w:sz w:val="22"/>
          <w:szCs w:val="22"/>
          <w:lang w:val="en-US"/>
        </w:rPr>
        <w:t xml:space="preserve">Under Output 3, the Fund </w:t>
      </w:r>
      <w:r w:rsidR="00373966">
        <w:rPr>
          <w:sz w:val="22"/>
          <w:szCs w:val="22"/>
          <w:lang w:val="en-US"/>
        </w:rPr>
        <w:t xml:space="preserve">seeks to </w:t>
      </w:r>
      <w:r w:rsidRPr="00373966">
        <w:rPr>
          <w:sz w:val="22"/>
          <w:szCs w:val="22"/>
          <w:lang w:val="en-US"/>
        </w:rPr>
        <w:t>support investigative journalism that contributes to a) reduced impunity for crimes against</w:t>
      </w:r>
      <w:r w:rsidR="00F33C5B" w:rsidRPr="00373966">
        <w:rPr>
          <w:sz w:val="22"/>
          <w:szCs w:val="22"/>
          <w:lang w:val="en-US"/>
        </w:rPr>
        <w:t xml:space="preserve"> environmental</w:t>
      </w:r>
      <w:r w:rsidRPr="00373966">
        <w:rPr>
          <w:sz w:val="22"/>
          <w:szCs w:val="22"/>
          <w:lang w:val="en-US"/>
        </w:rPr>
        <w:t xml:space="preserve"> journalists and b) enhancing the safety of those conducting this line of work by holding the justice system accountable and by pursuing investigative work that risks being censored when</w:t>
      </w:r>
      <w:r w:rsidR="007E411A" w:rsidRPr="00373966">
        <w:rPr>
          <w:sz w:val="22"/>
          <w:szCs w:val="22"/>
          <w:lang w:val="en-US"/>
        </w:rPr>
        <w:t xml:space="preserve"> environmental</w:t>
      </w:r>
      <w:r w:rsidRPr="00373966">
        <w:rPr>
          <w:sz w:val="22"/>
          <w:szCs w:val="22"/>
          <w:lang w:val="en-US"/>
        </w:rPr>
        <w:t xml:space="preserve"> journalists are attacked</w:t>
      </w:r>
      <w:r w:rsidR="00F21DD5">
        <w:rPr>
          <w:sz w:val="22"/>
          <w:szCs w:val="22"/>
          <w:lang w:val="en-US"/>
        </w:rPr>
        <w:t>,</w:t>
      </w:r>
      <w:r w:rsidRPr="00373966">
        <w:rPr>
          <w:sz w:val="22"/>
          <w:szCs w:val="22"/>
          <w:lang w:val="en-US"/>
        </w:rPr>
        <w:t xml:space="preserve"> imprisoned, or murdered.</w:t>
      </w:r>
    </w:p>
    <w:p w14:paraId="62E10C12" w14:textId="125052DA" w:rsidR="00E84E8D" w:rsidRPr="00E84E8D" w:rsidRDefault="00E84E8D" w:rsidP="00E84E8D">
      <w:pPr>
        <w:jc w:val="both"/>
        <w:rPr>
          <w:sz w:val="22"/>
          <w:szCs w:val="22"/>
          <w:lang w:val="en-US"/>
        </w:rPr>
      </w:pPr>
      <w:r w:rsidRPr="00E84E8D">
        <w:rPr>
          <w:sz w:val="22"/>
          <w:szCs w:val="22"/>
          <w:lang w:val="en-US"/>
        </w:rPr>
        <w:t xml:space="preserve">Projects supporting Output 3 may implement different activities, </w:t>
      </w:r>
      <w:r w:rsidR="008E6AE9" w:rsidRPr="00104C6F">
        <w:rPr>
          <w:sz w:val="22"/>
          <w:szCs w:val="22"/>
          <w:lang w:val="en-US"/>
        </w:rPr>
        <w:t xml:space="preserve">including </w:t>
      </w:r>
      <w:r w:rsidR="008E6AE9">
        <w:rPr>
          <w:sz w:val="22"/>
          <w:szCs w:val="22"/>
          <w:u w:val="single"/>
          <w:lang w:val="en-US"/>
        </w:rPr>
        <w:t>but not limited to</w:t>
      </w:r>
      <w:r w:rsidR="008E6AE9">
        <w:rPr>
          <w:sz w:val="22"/>
          <w:szCs w:val="22"/>
          <w:lang w:val="en-US"/>
        </w:rPr>
        <w:t>:</w:t>
      </w:r>
    </w:p>
    <w:p w14:paraId="7E229FDC" w14:textId="56CD58C7" w:rsidR="00E84E8D" w:rsidRPr="00E84E8D" w:rsidRDefault="00E84E8D" w:rsidP="00E84E8D">
      <w:pPr>
        <w:pStyle w:val="ListParagraph"/>
        <w:numPr>
          <w:ilvl w:val="0"/>
          <w:numId w:val="6"/>
        </w:numPr>
        <w:spacing w:line="259" w:lineRule="auto"/>
        <w:jc w:val="both"/>
        <w:rPr>
          <w:b/>
          <w:bCs/>
          <w:sz w:val="22"/>
          <w:szCs w:val="22"/>
          <w:u w:val="single"/>
          <w:lang w:val="en-US"/>
        </w:rPr>
      </w:pPr>
      <w:r w:rsidRPr="00E84E8D">
        <w:rPr>
          <w:sz w:val="22"/>
          <w:szCs w:val="22"/>
          <w:lang w:val="en-US"/>
        </w:rPr>
        <w:t xml:space="preserve">Carrying out in-depth journalistic investigations on </w:t>
      </w:r>
      <w:r w:rsidR="00E02187">
        <w:rPr>
          <w:sz w:val="22"/>
          <w:szCs w:val="22"/>
          <w:lang w:val="en-US"/>
        </w:rPr>
        <w:t>(</w:t>
      </w:r>
      <w:r w:rsidRPr="00E84E8D">
        <w:rPr>
          <w:sz w:val="22"/>
          <w:szCs w:val="22"/>
          <w:lang w:val="en-US"/>
        </w:rPr>
        <w:t>specific</w:t>
      </w:r>
      <w:r w:rsidR="00E02187">
        <w:rPr>
          <w:sz w:val="22"/>
          <w:szCs w:val="22"/>
          <w:lang w:val="en-US"/>
        </w:rPr>
        <w:t>)</w:t>
      </w:r>
      <w:r w:rsidRPr="00E84E8D">
        <w:rPr>
          <w:sz w:val="22"/>
          <w:szCs w:val="22"/>
          <w:lang w:val="en-US"/>
        </w:rPr>
        <w:t xml:space="preserve"> cases of violence against </w:t>
      </w:r>
      <w:r w:rsidR="00E02187">
        <w:rPr>
          <w:sz w:val="22"/>
          <w:szCs w:val="22"/>
          <w:lang w:val="en-US"/>
        </w:rPr>
        <w:t xml:space="preserve">environmental </w:t>
      </w:r>
      <w:r w:rsidRPr="00E84E8D">
        <w:rPr>
          <w:sz w:val="22"/>
          <w:szCs w:val="22"/>
          <w:lang w:val="en-US"/>
        </w:rPr>
        <w:t xml:space="preserve">journalists </w:t>
      </w:r>
      <w:r w:rsidR="00B520E3">
        <w:rPr>
          <w:sz w:val="22"/>
          <w:szCs w:val="22"/>
          <w:lang w:val="en-US"/>
        </w:rPr>
        <w:t>with the aim of</w:t>
      </w:r>
      <w:r w:rsidRPr="00E84E8D">
        <w:rPr>
          <w:sz w:val="22"/>
          <w:szCs w:val="22"/>
          <w:lang w:val="en-US"/>
        </w:rPr>
        <w:t xml:space="preserve"> ensuring judicial follow-up and holding</w:t>
      </w:r>
      <w:r w:rsidR="00B520E3">
        <w:rPr>
          <w:sz w:val="22"/>
          <w:szCs w:val="22"/>
          <w:lang w:val="en-US"/>
        </w:rPr>
        <w:t xml:space="preserve"> </w:t>
      </w:r>
      <w:r w:rsidR="00307C51">
        <w:rPr>
          <w:sz w:val="22"/>
          <w:szCs w:val="22"/>
          <w:lang w:val="en-US"/>
        </w:rPr>
        <w:t xml:space="preserve">perpetrators and </w:t>
      </w:r>
      <w:r w:rsidR="00307C51" w:rsidRPr="00E84E8D">
        <w:rPr>
          <w:sz w:val="22"/>
          <w:szCs w:val="22"/>
          <w:lang w:val="en-US"/>
        </w:rPr>
        <w:t>duty</w:t>
      </w:r>
      <w:r w:rsidR="00B520E3">
        <w:rPr>
          <w:sz w:val="22"/>
          <w:szCs w:val="22"/>
          <w:lang w:val="en-US"/>
        </w:rPr>
        <w:t xml:space="preserve"> bearers</w:t>
      </w:r>
      <w:r w:rsidRPr="00E84E8D">
        <w:rPr>
          <w:sz w:val="22"/>
          <w:szCs w:val="22"/>
          <w:lang w:val="en-US"/>
        </w:rPr>
        <w:t xml:space="preserve"> accountable</w:t>
      </w:r>
      <w:r w:rsidR="00C4104F">
        <w:rPr>
          <w:sz w:val="22"/>
          <w:szCs w:val="22"/>
          <w:lang w:val="en-US"/>
        </w:rPr>
        <w:t>;</w:t>
      </w:r>
    </w:p>
    <w:p w14:paraId="115BB67B" w14:textId="1D124AF5" w:rsidR="00E84E8D" w:rsidRPr="00E40C9F" w:rsidRDefault="00813B9A" w:rsidP="00E40C9F">
      <w:pPr>
        <w:pStyle w:val="ListParagraph"/>
        <w:numPr>
          <w:ilvl w:val="0"/>
          <w:numId w:val="6"/>
        </w:numPr>
        <w:spacing w:line="259" w:lineRule="auto"/>
        <w:jc w:val="both"/>
        <w:rPr>
          <w:sz w:val="22"/>
          <w:szCs w:val="22"/>
          <w:lang w:val="en-US"/>
        </w:rPr>
      </w:pPr>
      <w:r>
        <w:rPr>
          <w:sz w:val="22"/>
          <w:szCs w:val="22"/>
          <w:lang w:val="en-US"/>
        </w:rPr>
        <w:t>Continuing</w:t>
      </w:r>
      <w:r w:rsidR="002569DD">
        <w:rPr>
          <w:sz w:val="22"/>
          <w:szCs w:val="22"/>
          <w:lang w:val="en-US"/>
        </w:rPr>
        <w:t xml:space="preserve"> investigative work </w:t>
      </w:r>
      <w:r w:rsidR="00E84E8D" w:rsidRPr="002569DD">
        <w:rPr>
          <w:sz w:val="22"/>
          <w:szCs w:val="22"/>
          <w:lang w:val="en-US"/>
        </w:rPr>
        <w:t xml:space="preserve">that risks being terminated or censored when </w:t>
      </w:r>
      <w:r w:rsidR="009E2555">
        <w:rPr>
          <w:sz w:val="22"/>
          <w:szCs w:val="22"/>
          <w:lang w:val="en-US"/>
        </w:rPr>
        <w:t xml:space="preserve">environmental </w:t>
      </w:r>
      <w:r w:rsidR="00E84E8D" w:rsidRPr="002569DD">
        <w:rPr>
          <w:sz w:val="22"/>
          <w:szCs w:val="22"/>
          <w:lang w:val="en-US"/>
        </w:rPr>
        <w:t>journalists are attacked,</w:t>
      </w:r>
      <w:r w:rsidR="00B54C90">
        <w:rPr>
          <w:sz w:val="22"/>
          <w:szCs w:val="22"/>
          <w:lang w:val="en-US"/>
        </w:rPr>
        <w:t xml:space="preserve"> murdered,</w:t>
      </w:r>
      <w:r w:rsidR="00E84E8D" w:rsidRPr="002569DD">
        <w:rPr>
          <w:sz w:val="22"/>
          <w:szCs w:val="22"/>
          <w:lang w:val="en-US"/>
        </w:rPr>
        <w:t xml:space="preserve"> threatened, arbitrarily imprisoned</w:t>
      </w:r>
      <w:r w:rsidR="00B54C90">
        <w:rPr>
          <w:sz w:val="22"/>
          <w:szCs w:val="22"/>
          <w:lang w:val="en-US"/>
        </w:rPr>
        <w:t xml:space="preserve">, or </w:t>
      </w:r>
      <w:r w:rsidR="00B54C90" w:rsidRPr="00E40C9F">
        <w:rPr>
          <w:sz w:val="22"/>
          <w:szCs w:val="22"/>
          <w:lang w:val="en-US"/>
        </w:rPr>
        <w:t xml:space="preserve">have otherwise been </w:t>
      </w:r>
      <w:r w:rsidR="00E84E8D" w:rsidRPr="00E40C9F">
        <w:rPr>
          <w:sz w:val="22"/>
          <w:szCs w:val="22"/>
          <w:lang w:val="en-US"/>
        </w:rPr>
        <w:t>deterred or impeded from further pursuing it</w:t>
      </w:r>
      <w:r w:rsidR="005D6116">
        <w:rPr>
          <w:sz w:val="22"/>
          <w:szCs w:val="22"/>
          <w:lang w:val="en-US"/>
        </w:rPr>
        <w:t>, bringing these stories to light and widely disseminating them</w:t>
      </w:r>
      <w:r w:rsidR="006370E6">
        <w:rPr>
          <w:sz w:val="22"/>
          <w:szCs w:val="22"/>
          <w:lang w:val="en-US"/>
        </w:rPr>
        <w:t xml:space="preserve"> (“Arizona Projects”)</w:t>
      </w:r>
      <w:r w:rsidR="00C4104F">
        <w:rPr>
          <w:sz w:val="22"/>
          <w:szCs w:val="22"/>
          <w:lang w:val="en-US"/>
        </w:rPr>
        <w:t>;</w:t>
      </w:r>
    </w:p>
    <w:p w14:paraId="0BC1B6A7" w14:textId="70F159A6" w:rsidR="000E7F52" w:rsidRPr="00C57C43" w:rsidRDefault="00D934C3" w:rsidP="000E7F52">
      <w:pPr>
        <w:pStyle w:val="ListParagraph"/>
        <w:numPr>
          <w:ilvl w:val="0"/>
          <w:numId w:val="6"/>
        </w:numPr>
        <w:spacing w:line="259" w:lineRule="auto"/>
        <w:jc w:val="both"/>
        <w:rPr>
          <w:b/>
          <w:bCs/>
          <w:sz w:val="22"/>
          <w:szCs w:val="22"/>
          <w:u w:val="single"/>
          <w:lang w:val="en-US"/>
        </w:rPr>
      </w:pPr>
      <w:r>
        <w:rPr>
          <w:sz w:val="22"/>
          <w:szCs w:val="22"/>
          <w:lang w:val="en-US"/>
        </w:rPr>
        <w:lastRenderedPageBreak/>
        <w:t xml:space="preserve">Setting up, operationalizing, and coordinating the work of formal or informal networks of investigative journalists </w:t>
      </w:r>
      <w:r w:rsidR="00F84FCC">
        <w:rPr>
          <w:sz w:val="22"/>
          <w:szCs w:val="22"/>
          <w:lang w:val="en-US"/>
        </w:rPr>
        <w:t>or initiatives aimed</w:t>
      </w:r>
      <w:r w:rsidR="00321722">
        <w:rPr>
          <w:sz w:val="22"/>
          <w:szCs w:val="22"/>
          <w:lang w:val="en-US"/>
        </w:rPr>
        <w:t xml:space="preserve"> </w:t>
      </w:r>
      <w:r w:rsidR="00F84FCC">
        <w:rPr>
          <w:sz w:val="22"/>
          <w:szCs w:val="22"/>
          <w:lang w:val="en-US"/>
        </w:rPr>
        <w:t xml:space="preserve">at </w:t>
      </w:r>
      <w:r w:rsidR="00321722">
        <w:rPr>
          <w:sz w:val="22"/>
          <w:szCs w:val="22"/>
          <w:lang w:val="en-US"/>
        </w:rPr>
        <w:t>investigat</w:t>
      </w:r>
      <w:r w:rsidR="00F84FCC">
        <w:rPr>
          <w:sz w:val="22"/>
          <w:szCs w:val="22"/>
          <w:lang w:val="en-US"/>
        </w:rPr>
        <w:t>ing</w:t>
      </w:r>
      <w:r w:rsidR="00321722">
        <w:rPr>
          <w:sz w:val="22"/>
          <w:szCs w:val="22"/>
          <w:lang w:val="en-US"/>
        </w:rPr>
        <w:t xml:space="preserve"> cases of </w:t>
      </w:r>
      <w:r w:rsidR="00F84FCC">
        <w:rPr>
          <w:sz w:val="22"/>
          <w:szCs w:val="22"/>
          <w:lang w:val="en-US"/>
        </w:rPr>
        <w:t>violence, threats, and attacks against environmental reporters</w:t>
      </w:r>
      <w:r w:rsidR="008B3F14">
        <w:rPr>
          <w:sz w:val="22"/>
          <w:szCs w:val="22"/>
          <w:lang w:val="en-US"/>
        </w:rPr>
        <w:t>;</w:t>
      </w:r>
    </w:p>
    <w:p w14:paraId="5ACB8354" w14:textId="00BF0176" w:rsidR="00994729" w:rsidRDefault="000415D1" w:rsidP="000E7F52">
      <w:pPr>
        <w:pStyle w:val="ListParagraph"/>
        <w:numPr>
          <w:ilvl w:val="0"/>
          <w:numId w:val="6"/>
        </w:numPr>
        <w:spacing w:line="259" w:lineRule="auto"/>
        <w:jc w:val="both"/>
        <w:rPr>
          <w:sz w:val="22"/>
          <w:szCs w:val="22"/>
          <w:lang w:val="en-US"/>
        </w:rPr>
      </w:pPr>
      <w:r w:rsidRPr="002E12C4">
        <w:rPr>
          <w:sz w:val="22"/>
          <w:szCs w:val="22"/>
          <w:lang w:val="en-US"/>
        </w:rPr>
        <w:t xml:space="preserve">Monitoring, documenting and broadly exposing cases of threats and/or attacks against </w:t>
      </w:r>
      <w:r w:rsidR="00D97C4B">
        <w:rPr>
          <w:sz w:val="22"/>
          <w:szCs w:val="22"/>
          <w:lang w:val="en-US"/>
        </w:rPr>
        <w:t xml:space="preserve">environmental </w:t>
      </w:r>
      <w:r w:rsidRPr="002E12C4">
        <w:rPr>
          <w:sz w:val="22"/>
          <w:szCs w:val="22"/>
          <w:lang w:val="en-US"/>
        </w:rPr>
        <w:t>journalists</w:t>
      </w:r>
      <w:r w:rsidR="00994729">
        <w:rPr>
          <w:sz w:val="22"/>
          <w:szCs w:val="22"/>
          <w:lang w:val="en-US"/>
        </w:rPr>
        <w:t xml:space="preserve">, </w:t>
      </w:r>
      <w:r w:rsidR="00DD34EE">
        <w:rPr>
          <w:sz w:val="22"/>
          <w:szCs w:val="22"/>
          <w:lang w:val="en-US"/>
        </w:rPr>
        <w:t>drawing awareness</w:t>
      </w:r>
      <w:r w:rsidR="00F275D8">
        <w:rPr>
          <w:sz w:val="22"/>
          <w:szCs w:val="22"/>
          <w:lang w:val="en-US"/>
        </w:rPr>
        <w:t xml:space="preserve"> to</w:t>
      </w:r>
      <w:r w:rsidR="009B0D7B">
        <w:rPr>
          <w:sz w:val="22"/>
          <w:szCs w:val="22"/>
          <w:lang w:val="en-US"/>
        </w:rPr>
        <w:t xml:space="preserve"> the</w:t>
      </w:r>
      <w:r w:rsidR="00F275D8">
        <w:rPr>
          <w:sz w:val="22"/>
          <w:szCs w:val="22"/>
          <w:lang w:val="en-US"/>
        </w:rPr>
        <w:t xml:space="preserve"> investigative work that </w:t>
      </w:r>
      <w:r w:rsidR="005D6116">
        <w:rPr>
          <w:sz w:val="22"/>
          <w:szCs w:val="22"/>
          <w:lang w:val="en-US"/>
        </w:rPr>
        <w:t xml:space="preserve">risks </w:t>
      </w:r>
      <w:r w:rsidR="00770D87">
        <w:rPr>
          <w:sz w:val="22"/>
          <w:szCs w:val="22"/>
          <w:lang w:val="en-US"/>
        </w:rPr>
        <w:t>being terminated or censored as a result</w:t>
      </w:r>
      <w:r w:rsidR="009B0D7B">
        <w:rPr>
          <w:sz w:val="22"/>
          <w:szCs w:val="22"/>
          <w:lang w:val="en-US"/>
        </w:rPr>
        <w:t xml:space="preserve"> and actively </w:t>
      </w:r>
      <w:r w:rsidR="003D065B">
        <w:rPr>
          <w:sz w:val="22"/>
          <w:szCs w:val="22"/>
          <w:lang w:val="en-US"/>
        </w:rPr>
        <w:t>and contributing to ensuring</w:t>
      </w:r>
      <w:r w:rsidR="008177D3">
        <w:rPr>
          <w:sz w:val="22"/>
          <w:szCs w:val="22"/>
          <w:lang w:val="en-US"/>
        </w:rPr>
        <w:t xml:space="preserve"> both</w:t>
      </w:r>
      <w:r w:rsidR="003D065B">
        <w:rPr>
          <w:sz w:val="22"/>
          <w:szCs w:val="22"/>
          <w:lang w:val="en-US"/>
        </w:rPr>
        <w:t xml:space="preserve"> judicial follow up</w:t>
      </w:r>
      <w:r w:rsidR="008177D3">
        <w:rPr>
          <w:sz w:val="22"/>
          <w:szCs w:val="22"/>
          <w:lang w:val="en-US"/>
        </w:rPr>
        <w:t xml:space="preserve"> and accountability for these cases.</w:t>
      </w:r>
    </w:p>
    <w:p w14:paraId="24107A56" w14:textId="77777777" w:rsidR="00996A9E" w:rsidRDefault="00996A9E" w:rsidP="00996A9E">
      <w:pPr>
        <w:pStyle w:val="ListParagraph"/>
        <w:spacing w:line="259" w:lineRule="auto"/>
        <w:jc w:val="both"/>
        <w:rPr>
          <w:sz w:val="22"/>
          <w:szCs w:val="22"/>
          <w:lang w:val="en-US"/>
        </w:rPr>
      </w:pPr>
    </w:p>
    <w:p w14:paraId="76E3B99C" w14:textId="77777777" w:rsidR="00996A9E" w:rsidRPr="00996A9E" w:rsidRDefault="00996A9E" w:rsidP="00996A9E">
      <w:pPr>
        <w:pStyle w:val="FCsubtitle"/>
        <w:rPr>
          <w:b/>
          <w:bCs/>
          <w:sz w:val="22"/>
          <w:szCs w:val="16"/>
        </w:rPr>
      </w:pPr>
      <w:r w:rsidRPr="00996A9E">
        <w:rPr>
          <w:b/>
          <w:bCs/>
          <w:sz w:val="22"/>
          <w:szCs w:val="16"/>
        </w:rPr>
        <w:t>OUTPUT 4</w:t>
      </w:r>
    </w:p>
    <w:p w14:paraId="42BA5CEC" w14:textId="43201AFE" w:rsidR="00EF5D64" w:rsidRDefault="00996A9E" w:rsidP="00996A9E">
      <w:pPr>
        <w:jc w:val="both"/>
        <w:rPr>
          <w:sz w:val="22"/>
          <w:szCs w:val="22"/>
          <w:lang w:val="en-US"/>
        </w:rPr>
      </w:pPr>
      <w:r w:rsidRPr="00996A9E">
        <w:rPr>
          <w:sz w:val="22"/>
          <w:szCs w:val="22"/>
          <w:lang w:val="en-US"/>
        </w:rPr>
        <w:t xml:space="preserve">Under Output 4, the GMDF </w:t>
      </w:r>
      <w:r w:rsidR="00EF5D64">
        <w:rPr>
          <w:sz w:val="22"/>
          <w:szCs w:val="22"/>
          <w:lang w:val="en-US"/>
        </w:rPr>
        <w:t>seeks to support</w:t>
      </w:r>
      <w:r w:rsidRPr="00996A9E">
        <w:rPr>
          <w:sz w:val="22"/>
          <w:szCs w:val="22"/>
          <w:lang w:val="en-US"/>
        </w:rPr>
        <w:t xml:space="preserve"> strategic litigation</w:t>
      </w:r>
      <w:r w:rsidR="00EF5D64">
        <w:rPr>
          <w:sz w:val="22"/>
          <w:szCs w:val="22"/>
          <w:lang w:val="en-US"/>
        </w:rPr>
        <w:t xml:space="preserve"> that will </w:t>
      </w:r>
      <w:r w:rsidR="008A29CC">
        <w:rPr>
          <w:sz w:val="22"/>
          <w:szCs w:val="22"/>
          <w:lang w:val="en-US"/>
        </w:rPr>
        <w:t>contribute to enhancing</w:t>
      </w:r>
      <w:r w:rsidR="00EF5D64">
        <w:rPr>
          <w:sz w:val="22"/>
          <w:szCs w:val="22"/>
          <w:lang w:val="en-US"/>
        </w:rPr>
        <w:t xml:space="preserve"> the legal protection of environmental journalists</w:t>
      </w:r>
      <w:r w:rsidR="008A29CC">
        <w:rPr>
          <w:sz w:val="22"/>
          <w:szCs w:val="22"/>
          <w:lang w:val="en-US"/>
        </w:rPr>
        <w:t>.</w:t>
      </w:r>
    </w:p>
    <w:p w14:paraId="5E1D5780" w14:textId="4B9B8528" w:rsidR="00996A9E" w:rsidRPr="00996A9E" w:rsidRDefault="00996A9E" w:rsidP="00996A9E">
      <w:pPr>
        <w:jc w:val="both"/>
        <w:rPr>
          <w:sz w:val="22"/>
          <w:szCs w:val="22"/>
          <w:lang w:val="en-US"/>
        </w:rPr>
      </w:pPr>
      <w:r w:rsidRPr="00996A9E">
        <w:rPr>
          <w:sz w:val="22"/>
          <w:szCs w:val="22"/>
          <w:lang w:val="en-US"/>
        </w:rPr>
        <w:t xml:space="preserve">Strategic litigation consists in identifying and pursuing legal </w:t>
      </w:r>
      <w:r w:rsidR="00B21521">
        <w:rPr>
          <w:sz w:val="22"/>
          <w:szCs w:val="22"/>
          <w:lang w:val="en-US"/>
        </w:rPr>
        <w:t xml:space="preserve">action in </w:t>
      </w:r>
      <w:r w:rsidRPr="00996A9E">
        <w:rPr>
          <w:sz w:val="22"/>
          <w:szCs w:val="22"/>
          <w:lang w:val="en-US"/>
        </w:rPr>
        <w:t>cases with significative strategic potential before national, regional and/or international courts,</w:t>
      </w:r>
      <w:r w:rsidR="00F778DC">
        <w:rPr>
          <w:sz w:val="22"/>
          <w:szCs w:val="22"/>
          <w:lang w:val="en-US"/>
        </w:rPr>
        <w:t xml:space="preserve"> in line with international human rights standards,</w:t>
      </w:r>
      <w:r w:rsidRPr="00996A9E">
        <w:rPr>
          <w:sz w:val="22"/>
          <w:szCs w:val="22"/>
          <w:lang w:val="en-US"/>
        </w:rPr>
        <w:t xml:space="preserve"> as part of a strategy to </w:t>
      </w:r>
      <w:r w:rsidR="00F15C27">
        <w:rPr>
          <w:sz w:val="22"/>
          <w:szCs w:val="22"/>
          <w:lang w:val="en-US"/>
        </w:rPr>
        <w:t>reinforce</w:t>
      </w:r>
      <w:r w:rsidR="002E6376">
        <w:rPr>
          <w:sz w:val="22"/>
          <w:szCs w:val="22"/>
          <w:lang w:val="en-US"/>
        </w:rPr>
        <w:t xml:space="preserve"> the legal protection of environmental journalists</w:t>
      </w:r>
      <w:r w:rsidRPr="00996A9E">
        <w:rPr>
          <w:sz w:val="22"/>
          <w:szCs w:val="22"/>
          <w:lang w:val="en-US"/>
        </w:rPr>
        <w:t xml:space="preserve">. It involves selecting and bringing a case to a court of law </w:t>
      </w:r>
      <w:r w:rsidR="000232D7">
        <w:rPr>
          <w:sz w:val="22"/>
          <w:szCs w:val="22"/>
          <w:lang w:val="en-US"/>
        </w:rPr>
        <w:t xml:space="preserve">with an aim that goes </w:t>
      </w:r>
      <w:r w:rsidRPr="00996A9E">
        <w:rPr>
          <w:sz w:val="22"/>
          <w:szCs w:val="22"/>
          <w:lang w:val="en-US"/>
        </w:rPr>
        <w:t>beyond the individual case</w:t>
      </w:r>
      <w:r w:rsidR="00A712CE">
        <w:rPr>
          <w:sz w:val="22"/>
          <w:szCs w:val="22"/>
          <w:lang w:val="en-US"/>
        </w:rPr>
        <w:t>, by contributing to:</w:t>
      </w:r>
    </w:p>
    <w:p w14:paraId="31758CA5" w14:textId="6E65A54C" w:rsidR="00996A9E" w:rsidRPr="00996A9E" w:rsidRDefault="00A712CE" w:rsidP="00996A9E">
      <w:pPr>
        <w:pStyle w:val="ListParagraph"/>
        <w:numPr>
          <w:ilvl w:val="0"/>
          <w:numId w:val="7"/>
        </w:numPr>
        <w:spacing w:line="259" w:lineRule="auto"/>
        <w:jc w:val="both"/>
        <w:rPr>
          <w:sz w:val="22"/>
          <w:szCs w:val="22"/>
          <w:lang w:val="en-US"/>
        </w:rPr>
      </w:pPr>
      <w:r>
        <w:rPr>
          <w:sz w:val="22"/>
          <w:szCs w:val="22"/>
          <w:lang w:val="en-US"/>
        </w:rPr>
        <w:t>C</w:t>
      </w:r>
      <w:r w:rsidR="00996A9E" w:rsidRPr="00996A9E">
        <w:rPr>
          <w:sz w:val="22"/>
          <w:szCs w:val="22"/>
          <w:lang w:val="en-US"/>
        </w:rPr>
        <w:t xml:space="preserve">reating progressive jurisprudence by setting innovative legal precedents related to key and emerging challenges </w:t>
      </w:r>
      <w:r>
        <w:rPr>
          <w:sz w:val="22"/>
          <w:szCs w:val="22"/>
          <w:lang w:val="en-US"/>
        </w:rPr>
        <w:t>faced by environmental journalists</w:t>
      </w:r>
      <w:r w:rsidR="000014C4">
        <w:rPr>
          <w:sz w:val="22"/>
          <w:szCs w:val="22"/>
          <w:lang w:val="en-US"/>
        </w:rPr>
        <w:t xml:space="preserve">, in line with international human </w:t>
      </w:r>
      <w:r w:rsidR="0058484F">
        <w:rPr>
          <w:sz w:val="22"/>
          <w:szCs w:val="22"/>
          <w:lang w:val="en-US"/>
        </w:rPr>
        <w:t>rights standards</w:t>
      </w:r>
      <w:r>
        <w:rPr>
          <w:sz w:val="22"/>
          <w:szCs w:val="22"/>
          <w:lang w:val="en-US"/>
        </w:rPr>
        <w:t>;</w:t>
      </w:r>
    </w:p>
    <w:p w14:paraId="05A1655F" w14:textId="1A051245" w:rsidR="00996A9E" w:rsidRPr="00996A9E" w:rsidRDefault="00996A9E" w:rsidP="00996A9E">
      <w:pPr>
        <w:pStyle w:val="ListParagraph"/>
        <w:numPr>
          <w:ilvl w:val="0"/>
          <w:numId w:val="7"/>
        </w:numPr>
        <w:spacing w:line="259" w:lineRule="auto"/>
        <w:jc w:val="both"/>
        <w:rPr>
          <w:sz w:val="22"/>
          <w:szCs w:val="22"/>
          <w:lang w:val="en-US"/>
        </w:rPr>
      </w:pPr>
      <w:r w:rsidRPr="00996A9E">
        <w:rPr>
          <w:sz w:val="22"/>
          <w:szCs w:val="22"/>
          <w:lang w:val="en-US"/>
        </w:rPr>
        <w:t>Ensuring that national legislation and international human rights standards on freedom of expression and safety of journalists are correctly interpreted and enforced</w:t>
      </w:r>
      <w:r w:rsidR="0017440C">
        <w:rPr>
          <w:sz w:val="22"/>
          <w:szCs w:val="22"/>
          <w:lang w:val="en-US"/>
        </w:rPr>
        <w:t xml:space="preserve"> in cases involving environmental journalists</w:t>
      </w:r>
      <w:r w:rsidR="00A712CE">
        <w:rPr>
          <w:sz w:val="22"/>
          <w:szCs w:val="22"/>
          <w:lang w:val="en-US"/>
        </w:rPr>
        <w:t>;</w:t>
      </w:r>
    </w:p>
    <w:p w14:paraId="1BBA8F4F" w14:textId="3D70180B" w:rsidR="00996A9E" w:rsidRPr="00996A9E" w:rsidRDefault="00996A9E" w:rsidP="00996A9E">
      <w:pPr>
        <w:pStyle w:val="ListParagraph"/>
        <w:numPr>
          <w:ilvl w:val="0"/>
          <w:numId w:val="7"/>
        </w:numPr>
        <w:spacing w:line="259" w:lineRule="auto"/>
        <w:jc w:val="both"/>
        <w:rPr>
          <w:sz w:val="22"/>
          <w:szCs w:val="22"/>
          <w:lang w:val="en-US"/>
        </w:rPr>
      </w:pPr>
      <w:r w:rsidRPr="00996A9E">
        <w:rPr>
          <w:sz w:val="22"/>
          <w:szCs w:val="22"/>
          <w:lang w:val="en-US"/>
        </w:rPr>
        <w:t>Prompting or triggering reforms in national and regional legislation, policy and institutional practices, in line with international human rights standards</w:t>
      </w:r>
      <w:r w:rsidR="000048B1">
        <w:rPr>
          <w:sz w:val="22"/>
          <w:szCs w:val="22"/>
          <w:lang w:val="en-US"/>
        </w:rPr>
        <w:t>, that could enhance the protection of environmental journalists;</w:t>
      </w:r>
      <w:r w:rsidRPr="00996A9E">
        <w:rPr>
          <w:sz w:val="22"/>
          <w:szCs w:val="22"/>
          <w:lang w:val="en-US"/>
        </w:rPr>
        <w:t xml:space="preserve"> </w:t>
      </w:r>
    </w:p>
    <w:p w14:paraId="492F260C" w14:textId="5294F794" w:rsidR="001502C6" w:rsidRPr="0055778E" w:rsidRDefault="00806079" w:rsidP="00996A9E">
      <w:pPr>
        <w:pStyle w:val="ListParagraph"/>
        <w:numPr>
          <w:ilvl w:val="0"/>
          <w:numId w:val="7"/>
        </w:numPr>
        <w:spacing w:line="259" w:lineRule="auto"/>
        <w:jc w:val="both"/>
        <w:rPr>
          <w:sz w:val="22"/>
          <w:szCs w:val="22"/>
          <w:lang w:val="en-US"/>
        </w:rPr>
      </w:pPr>
      <w:r>
        <w:rPr>
          <w:sz w:val="22"/>
          <w:szCs w:val="22"/>
          <w:lang w:val="en-US"/>
        </w:rPr>
        <w:t>Seeking remedial action for</w:t>
      </w:r>
      <w:r w:rsidR="00500A0E">
        <w:rPr>
          <w:sz w:val="22"/>
          <w:szCs w:val="22"/>
          <w:lang w:val="en-US"/>
        </w:rPr>
        <w:t xml:space="preserve"> </w:t>
      </w:r>
      <w:r>
        <w:rPr>
          <w:sz w:val="22"/>
          <w:szCs w:val="22"/>
          <w:lang w:val="en-US"/>
        </w:rPr>
        <w:t xml:space="preserve">redress and reparation in cases related to </w:t>
      </w:r>
      <w:r w:rsidR="00996A9E" w:rsidRPr="00996A9E">
        <w:rPr>
          <w:sz w:val="22"/>
          <w:szCs w:val="22"/>
          <w:lang w:val="en-US"/>
        </w:rPr>
        <w:t xml:space="preserve">journalists and/or media outlets victims of threats, attacks, restrictions or pressures for </w:t>
      </w:r>
      <w:r w:rsidR="00500A0E">
        <w:rPr>
          <w:sz w:val="22"/>
          <w:szCs w:val="22"/>
          <w:lang w:val="en-US"/>
        </w:rPr>
        <w:t>reporting on environmental issues</w:t>
      </w:r>
      <w:r w:rsidR="0058484F">
        <w:rPr>
          <w:sz w:val="22"/>
          <w:szCs w:val="22"/>
          <w:lang w:val="en-US"/>
        </w:rPr>
        <w:t>, in line with international human rights standards</w:t>
      </w:r>
      <w:r w:rsidR="00996A9E" w:rsidRPr="00996A9E">
        <w:rPr>
          <w:sz w:val="22"/>
          <w:szCs w:val="22"/>
          <w:lang w:val="en-US"/>
        </w:rPr>
        <w:t>.</w:t>
      </w:r>
    </w:p>
    <w:p w14:paraId="1CCD5576" w14:textId="3B8F49D9" w:rsidR="00556BE2" w:rsidRPr="00556BE2" w:rsidRDefault="00556BE2" w:rsidP="00556BE2">
      <w:pPr>
        <w:jc w:val="both"/>
        <w:rPr>
          <w:sz w:val="22"/>
          <w:szCs w:val="22"/>
          <w:lang w:val="en-US"/>
        </w:rPr>
      </w:pPr>
      <w:r w:rsidRPr="00556BE2">
        <w:rPr>
          <w:sz w:val="22"/>
          <w:szCs w:val="22"/>
          <w:lang w:val="en-US"/>
        </w:rPr>
        <w:t xml:space="preserve">Projects supporting Output </w:t>
      </w:r>
      <w:r>
        <w:rPr>
          <w:sz w:val="22"/>
          <w:szCs w:val="22"/>
          <w:lang w:val="en-US"/>
        </w:rPr>
        <w:t xml:space="preserve">4 </w:t>
      </w:r>
      <w:r w:rsidRPr="00556BE2">
        <w:rPr>
          <w:sz w:val="22"/>
          <w:szCs w:val="22"/>
          <w:lang w:val="en-US"/>
        </w:rPr>
        <w:t xml:space="preserve">may implement different activities, including </w:t>
      </w:r>
      <w:r w:rsidRPr="00556BE2">
        <w:rPr>
          <w:sz w:val="22"/>
          <w:szCs w:val="22"/>
          <w:u w:val="single"/>
          <w:lang w:val="en-US"/>
        </w:rPr>
        <w:t>but not limited to</w:t>
      </w:r>
      <w:r w:rsidRPr="00556BE2">
        <w:rPr>
          <w:sz w:val="22"/>
          <w:szCs w:val="22"/>
          <w:lang w:val="en-US"/>
        </w:rPr>
        <w:t>:</w:t>
      </w:r>
    </w:p>
    <w:p w14:paraId="4868E58B" w14:textId="039B21D0" w:rsidR="00556BE2" w:rsidRDefault="00614B82" w:rsidP="00614B82">
      <w:pPr>
        <w:pStyle w:val="ListParagraph"/>
        <w:numPr>
          <w:ilvl w:val="0"/>
          <w:numId w:val="9"/>
        </w:numPr>
        <w:jc w:val="both"/>
        <w:rPr>
          <w:sz w:val="22"/>
          <w:szCs w:val="22"/>
          <w:lang w:val="en-US"/>
        </w:rPr>
      </w:pPr>
      <w:r>
        <w:rPr>
          <w:sz w:val="22"/>
          <w:szCs w:val="22"/>
          <w:lang w:val="en-US"/>
        </w:rPr>
        <w:t>Engaging in</w:t>
      </w:r>
      <w:r w:rsidR="00DC0584">
        <w:rPr>
          <w:sz w:val="22"/>
          <w:szCs w:val="22"/>
          <w:lang w:val="en-US"/>
        </w:rPr>
        <w:t xml:space="preserve"> strategic</w:t>
      </w:r>
      <w:r>
        <w:rPr>
          <w:sz w:val="22"/>
          <w:szCs w:val="22"/>
          <w:lang w:val="en-US"/>
        </w:rPr>
        <w:t xml:space="preserve"> legal proceedings </w:t>
      </w:r>
      <w:r w:rsidR="009D7D22">
        <w:rPr>
          <w:sz w:val="22"/>
          <w:szCs w:val="22"/>
          <w:lang w:val="en-US"/>
        </w:rPr>
        <w:t xml:space="preserve">related to the </w:t>
      </w:r>
      <w:r w:rsidR="00DC0584" w:rsidRPr="00DC0584">
        <w:rPr>
          <w:sz w:val="22"/>
          <w:szCs w:val="22"/>
          <w:lang w:val="en-US"/>
        </w:rPr>
        <w:t>investigation, prosecution, and sanction of cases involving violations against</w:t>
      </w:r>
      <w:r w:rsidR="00DC0584">
        <w:rPr>
          <w:sz w:val="22"/>
          <w:szCs w:val="22"/>
          <w:lang w:val="en-US"/>
        </w:rPr>
        <w:t xml:space="preserve"> environmental</w:t>
      </w:r>
      <w:r w:rsidR="00DC0584" w:rsidRPr="00DC0584">
        <w:rPr>
          <w:sz w:val="22"/>
          <w:szCs w:val="22"/>
          <w:lang w:val="en-US"/>
        </w:rPr>
        <w:t xml:space="preserve"> journalists</w:t>
      </w:r>
      <w:r w:rsidR="00DC0584">
        <w:rPr>
          <w:sz w:val="22"/>
          <w:szCs w:val="22"/>
          <w:lang w:val="en-US"/>
        </w:rPr>
        <w:t xml:space="preserve"> </w:t>
      </w:r>
      <w:r w:rsidR="00365C09">
        <w:rPr>
          <w:sz w:val="22"/>
          <w:szCs w:val="22"/>
          <w:lang w:val="en-US"/>
        </w:rPr>
        <w:t>before national, regional, and/or international courts, with the aim of achieving the above</w:t>
      </w:r>
      <w:r w:rsidR="00B53076">
        <w:rPr>
          <w:sz w:val="22"/>
          <w:szCs w:val="22"/>
          <w:lang w:val="en-US"/>
        </w:rPr>
        <w:t xml:space="preserve"> (creating progressive jurisprudence, prompting </w:t>
      </w:r>
      <w:r w:rsidR="000E3E6D">
        <w:rPr>
          <w:sz w:val="22"/>
          <w:szCs w:val="22"/>
          <w:lang w:val="en-US"/>
        </w:rPr>
        <w:t>or triggering reforms related to legislation, policy or practice, etc.)</w:t>
      </w:r>
      <w:r w:rsidR="00365C09">
        <w:rPr>
          <w:sz w:val="22"/>
          <w:szCs w:val="22"/>
          <w:lang w:val="en-US"/>
        </w:rPr>
        <w:t>;</w:t>
      </w:r>
    </w:p>
    <w:p w14:paraId="49111E52" w14:textId="6E1FEBA0" w:rsidR="00996A9E" w:rsidRDefault="00DC40AF" w:rsidP="00996A9E">
      <w:pPr>
        <w:pStyle w:val="ListParagraph"/>
        <w:numPr>
          <w:ilvl w:val="0"/>
          <w:numId w:val="9"/>
        </w:numPr>
        <w:jc w:val="both"/>
        <w:rPr>
          <w:sz w:val="22"/>
          <w:szCs w:val="22"/>
          <w:lang w:val="en-US"/>
        </w:rPr>
      </w:pPr>
      <w:r>
        <w:rPr>
          <w:sz w:val="22"/>
          <w:szCs w:val="22"/>
          <w:lang w:val="en-US"/>
        </w:rPr>
        <w:t>C</w:t>
      </w:r>
      <w:r w:rsidR="00996A9E" w:rsidRPr="00DC40AF">
        <w:rPr>
          <w:sz w:val="22"/>
          <w:szCs w:val="22"/>
          <w:lang w:val="en-US"/>
        </w:rPr>
        <w:t>ases supporting interventions through relevant UN special procedures mechanisms</w:t>
      </w:r>
      <w:r w:rsidR="00A57808" w:rsidRPr="00DC40AF">
        <w:rPr>
          <w:sz w:val="22"/>
          <w:szCs w:val="22"/>
          <w:lang w:val="en-US"/>
        </w:rPr>
        <w:t xml:space="preserve"> in response to cases of violence against environmental journalists</w:t>
      </w:r>
      <w:r w:rsidR="00996A9E" w:rsidRPr="00DC40AF">
        <w:rPr>
          <w:sz w:val="22"/>
          <w:szCs w:val="22"/>
          <w:lang w:val="en-US"/>
        </w:rPr>
        <w:t xml:space="preserve"> are also considered as strategic litigation for the purposes of this Output</w:t>
      </w:r>
      <w:r w:rsidR="0002606E">
        <w:rPr>
          <w:sz w:val="22"/>
          <w:szCs w:val="22"/>
          <w:lang w:val="en-US"/>
        </w:rPr>
        <w:t>;</w:t>
      </w:r>
    </w:p>
    <w:p w14:paraId="5989C0D8" w14:textId="38A6D6EF" w:rsidR="00DC40AF" w:rsidRDefault="00DC40AF" w:rsidP="00996A9E">
      <w:pPr>
        <w:pStyle w:val="ListParagraph"/>
        <w:numPr>
          <w:ilvl w:val="0"/>
          <w:numId w:val="9"/>
        </w:numPr>
        <w:jc w:val="both"/>
        <w:rPr>
          <w:sz w:val="22"/>
          <w:szCs w:val="22"/>
          <w:lang w:val="en-US"/>
        </w:rPr>
      </w:pPr>
      <w:r>
        <w:rPr>
          <w:sz w:val="22"/>
          <w:szCs w:val="22"/>
          <w:lang w:val="en-US"/>
        </w:rPr>
        <w:t xml:space="preserve">Preparing and submitting </w:t>
      </w:r>
      <w:r w:rsidR="00537389">
        <w:rPr>
          <w:i/>
          <w:iCs/>
          <w:sz w:val="22"/>
          <w:szCs w:val="22"/>
          <w:lang w:val="en-US"/>
        </w:rPr>
        <w:t xml:space="preserve">amicus curiae </w:t>
      </w:r>
      <w:r w:rsidR="00537389">
        <w:rPr>
          <w:sz w:val="22"/>
          <w:szCs w:val="22"/>
          <w:lang w:val="en-US"/>
        </w:rPr>
        <w:t xml:space="preserve">interventions </w:t>
      </w:r>
      <w:r w:rsidR="00CF560A">
        <w:rPr>
          <w:sz w:val="22"/>
          <w:szCs w:val="22"/>
          <w:lang w:val="en-US"/>
        </w:rPr>
        <w:t xml:space="preserve">in strategic cases related to </w:t>
      </w:r>
      <w:r w:rsidR="00CF560A" w:rsidRPr="00996A9E">
        <w:rPr>
          <w:sz w:val="22"/>
          <w:szCs w:val="22"/>
          <w:lang w:val="en-US"/>
        </w:rPr>
        <w:t xml:space="preserve">journalists and/or media outlets </w:t>
      </w:r>
      <w:r w:rsidR="002B59EB">
        <w:rPr>
          <w:sz w:val="22"/>
          <w:szCs w:val="22"/>
          <w:lang w:val="en-US"/>
        </w:rPr>
        <w:t>facing</w:t>
      </w:r>
      <w:r w:rsidR="00CF560A" w:rsidRPr="00996A9E">
        <w:rPr>
          <w:sz w:val="22"/>
          <w:szCs w:val="22"/>
          <w:lang w:val="en-US"/>
        </w:rPr>
        <w:t xml:space="preserve"> threats, attacks, </w:t>
      </w:r>
      <w:r w:rsidR="00CC4DC4">
        <w:rPr>
          <w:sz w:val="22"/>
          <w:szCs w:val="22"/>
          <w:lang w:val="en-US"/>
        </w:rPr>
        <w:t xml:space="preserve">undue or excessive </w:t>
      </w:r>
      <w:r w:rsidR="00CF560A" w:rsidRPr="00996A9E">
        <w:rPr>
          <w:sz w:val="22"/>
          <w:szCs w:val="22"/>
          <w:lang w:val="en-US"/>
        </w:rPr>
        <w:t>restrictions</w:t>
      </w:r>
      <w:r w:rsidR="00CC4DC4">
        <w:rPr>
          <w:sz w:val="22"/>
          <w:szCs w:val="22"/>
          <w:lang w:val="en-US"/>
        </w:rPr>
        <w:t>,</w:t>
      </w:r>
      <w:r w:rsidR="00CF560A" w:rsidRPr="00996A9E">
        <w:rPr>
          <w:sz w:val="22"/>
          <w:szCs w:val="22"/>
          <w:lang w:val="en-US"/>
        </w:rPr>
        <w:t xml:space="preserve"> or pressures for </w:t>
      </w:r>
      <w:r w:rsidR="00CF560A">
        <w:rPr>
          <w:sz w:val="22"/>
          <w:szCs w:val="22"/>
          <w:lang w:val="en-US"/>
        </w:rPr>
        <w:t>reporting on environmental issues, in line with international human rights standards</w:t>
      </w:r>
      <w:r w:rsidR="0002606E">
        <w:rPr>
          <w:sz w:val="22"/>
          <w:szCs w:val="22"/>
          <w:lang w:val="en-US"/>
        </w:rPr>
        <w:t>;</w:t>
      </w:r>
    </w:p>
    <w:p w14:paraId="772C896B" w14:textId="11D4B614" w:rsidR="00104C6F" w:rsidRDefault="0002606E" w:rsidP="00D1693C">
      <w:pPr>
        <w:pStyle w:val="ListParagraph"/>
        <w:numPr>
          <w:ilvl w:val="0"/>
          <w:numId w:val="9"/>
        </w:numPr>
        <w:jc w:val="both"/>
        <w:rPr>
          <w:sz w:val="22"/>
          <w:szCs w:val="22"/>
          <w:lang w:val="en-US"/>
        </w:rPr>
      </w:pPr>
      <w:r w:rsidRPr="0002606E">
        <w:rPr>
          <w:sz w:val="22"/>
          <w:szCs w:val="22"/>
          <w:lang w:val="en-US"/>
        </w:rPr>
        <w:lastRenderedPageBreak/>
        <w:t xml:space="preserve">Enabling, promoting, </w:t>
      </w:r>
      <w:r w:rsidR="00A40A02">
        <w:rPr>
          <w:sz w:val="22"/>
          <w:szCs w:val="22"/>
          <w:lang w:val="en-US"/>
        </w:rPr>
        <w:t>and</w:t>
      </w:r>
      <w:r w:rsidRPr="0002606E">
        <w:rPr>
          <w:sz w:val="22"/>
          <w:szCs w:val="22"/>
          <w:lang w:val="en-US"/>
        </w:rPr>
        <w:t xml:space="preserve"> reinforcing legal collaboration between local, regional and international experts to provide expert legal guidance on cases </w:t>
      </w:r>
      <w:r w:rsidR="00CE41C1" w:rsidRPr="0002606E">
        <w:rPr>
          <w:sz w:val="22"/>
          <w:szCs w:val="22"/>
          <w:lang w:val="en-US"/>
        </w:rPr>
        <w:t xml:space="preserve">with strategic potential </w:t>
      </w:r>
      <w:r w:rsidR="00A40A02">
        <w:rPr>
          <w:sz w:val="22"/>
          <w:szCs w:val="22"/>
          <w:lang w:val="en-US"/>
        </w:rPr>
        <w:t xml:space="preserve">involving </w:t>
      </w:r>
      <w:r w:rsidR="002B59EB">
        <w:rPr>
          <w:sz w:val="22"/>
          <w:szCs w:val="22"/>
          <w:lang w:val="en-US"/>
        </w:rPr>
        <w:t xml:space="preserve">environmental journalists </w:t>
      </w:r>
      <w:r w:rsidRPr="0002606E">
        <w:rPr>
          <w:sz w:val="22"/>
          <w:szCs w:val="22"/>
          <w:lang w:val="en-US"/>
        </w:rPr>
        <w:t>and support further action to safeguard the right to freedom of expression and press freedom</w:t>
      </w:r>
      <w:r w:rsidR="00A40A02">
        <w:rPr>
          <w:sz w:val="22"/>
          <w:szCs w:val="22"/>
          <w:lang w:val="en-US"/>
        </w:rPr>
        <w:t>.</w:t>
      </w:r>
    </w:p>
    <w:p w14:paraId="5246F340" w14:textId="77777777" w:rsidR="00A24A4D" w:rsidRDefault="00A24A4D" w:rsidP="00A24A4D">
      <w:pPr>
        <w:pStyle w:val="ListParagraph"/>
        <w:jc w:val="both"/>
        <w:rPr>
          <w:sz w:val="22"/>
          <w:szCs w:val="22"/>
          <w:lang w:val="en-US"/>
        </w:rPr>
      </w:pPr>
    </w:p>
    <w:p w14:paraId="4A156EEF" w14:textId="17BB6C98" w:rsidR="001446C0" w:rsidRPr="0052365C" w:rsidRDefault="001446C0" w:rsidP="001446C0">
      <w:pPr>
        <w:jc w:val="both"/>
        <w:rPr>
          <w:rFonts w:eastAsiaTheme="minorHAnsi"/>
          <w:b/>
          <w:bCs/>
          <w:color w:val="FFFFFF" w:themeColor="background1"/>
          <w:kern w:val="0"/>
          <w:sz w:val="22"/>
          <w:szCs w:val="16"/>
          <w:shd w:val="clear" w:color="auto" w:fill="C5192D"/>
          <w:lang w:val="en-GB" w:eastAsia="en-US"/>
          <w14:ligatures w14:val="none"/>
        </w:rPr>
      </w:pPr>
      <w:r w:rsidRPr="0052365C">
        <w:rPr>
          <w:rFonts w:eastAsiaTheme="minorHAnsi"/>
          <w:b/>
          <w:bCs/>
          <w:color w:val="FFFFFF" w:themeColor="background1"/>
          <w:kern w:val="0"/>
          <w:sz w:val="22"/>
          <w:szCs w:val="16"/>
          <w:shd w:val="clear" w:color="auto" w:fill="C5192D"/>
          <w:lang w:val="en-GB" w:eastAsia="en-US"/>
          <w14:ligatures w14:val="none"/>
        </w:rPr>
        <w:t>IMPORTANT</w:t>
      </w:r>
      <w:r w:rsidR="00C558E2">
        <w:rPr>
          <w:rFonts w:eastAsiaTheme="minorHAnsi"/>
          <w:b/>
          <w:bCs/>
          <w:color w:val="FFFFFF" w:themeColor="background1"/>
          <w:kern w:val="0"/>
          <w:sz w:val="22"/>
          <w:szCs w:val="16"/>
          <w:shd w:val="clear" w:color="auto" w:fill="C5192D"/>
          <w:lang w:val="en-GB" w:eastAsia="en-US"/>
          <w14:ligatures w14:val="none"/>
        </w:rPr>
        <w:t xml:space="preserve"> INFORMATION</w:t>
      </w:r>
      <w:r w:rsidRPr="0052365C">
        <w:rPr>
          <w:rFonts w:eastAsiaTheme="minorHAnsi"/>
          <w:b/>
          <w:bCs/>
          <w:color w:val="FFFFFF" w:themeColor="background1"/>
          <w:kern w:val="0"/>
          <w:sz w:val="22"/>
          <w:szCs w:val="16"/>
          <w:shd w:val="clear" w:color="auto" w:fill="C5192D"/>
          <w:lang w:val="en-GB" w:eastAsia="en-US"/>
          <w14:ligatures w14:val="none"/>
        </w:rPr>
        <w:t>:</w:t>
      </w:r>
    </w:p>
    <w:p w14:paraId="23DC262A" w14:textId="28CD088F" w:rsidR="001446C0" w:rsidRDefault="001446C0" w:rsidP="001446C0">
      <w:pPr>
        <w:pStyle w:val="ListParagraph"/>
        <w:numPr>
          <w:ilvl w:val="0"/>
          <w:numId w:val="11"/>
        </w:numPr>
        <w:jc w:val="both"/>
        <w:rPr>
          <w:sz w:val="22"/>
          <w:szCs w:val="22"/>
          <w:lang w:val="en-US"/>
        </w:rPr>
      </w:pPr>
      <w:r>
        <w:rPr>
          <w:sz w:val="22"/>
          <w:szCs w:val="22"/>
          <w:lang w:val="en-US"/>
        </w:rPr>
        <w:t>A</w:t>
      </w:r>
      <w:r w:rsidR="0052365C">
        <w:rPr>
          <w:sz w:val="22"/>
          <w:szCs w:val="22"/>
          <w:lang w:val="en-US"/>
        </w:rPr>
        <w:t>ll</w:t>
      </w:r>
      <w:r>
        <w:rPr>
          <w:sz w:val="22"/>
          <w:szCs w:val="22"/>
          <w:lang w:val="en-US"/>
        </w:rPr>
        <w:t xml:space="preserve"> projects</w:t>
      </w:r>
      <w:r w:rsidR="0052365C">
        <w:rPr>
          <w:sz w:val="22"/>
          <w:szCs w:val="22"/>
          <w:lang w:val="en-US"/>
        </w:rPr>
        <w:t xml:space="preserve"> must directly contribute to advancing at least one of the Outputs covered by this Call (Output 2, Output 3, Output 4)</w:t>
      </w:r>
      <w:r w:rsidR="00BA664B">
        <w:rPr>
          <w:sz w:val="22"/>
          <w:szCs w:val="22"/>
          <w:lang w:val="en-US"/>
        </w:rPr>
        <w:t>;</w:t>
      </w:r>
    </w:p>
    <w:p w14:paraId="0FB8C58F" w14:textId="686BDF56" w:rsidR="004743FE" w:rsidRDefault="004743FE" w:rsidP="001446C0">
      <w:pPr>
        <w:pStyle w:val="ListParagraph"/>
        <w:numPr>
          <w:ilvl w:val="0"/>
          <w:numId w:val="11"/>
        </w:numPr>
        <w:jc w:val="both"/>
        <w:rPr>
          <w:sz w:val="22"/>
          <w:szCs w:val="22"/>
          <w:lang w:val="en-US"/>
        </w:rPr>
      </w:pPr>
      <w:r>
        <w:rPr>
          <w:sz w:val="22"/>
          <w:szCs w:val="22"/>
          <w:lang w:val="en-US"/>
        </w:rPr>
        <w:t xml:space="preserve">Output 1 of the GMDF is </w:t>
      </w:r>
      <w:r w:rsidRPr="004743FE">
        <w:rPr>
          <w:sz w:val="22"/>
          <w:szCs w:val="22"/>
          <w:u w:val="single"/>
          <w:lang w:val="en-US"/>
        </w:rPr>
        <w:t>not</w:t>
      </w:r>
      <w:r>
        <w:rPr>
          <w:sz w:val="22"/>
          <w:szCs w:val="22"/>
          <w:lang w:val="en-US"/>
        </w:rPr>
        <w:t xml:space="preserve"> targeted by this Call</w:t>
      </w:r>
      <w:r w:rsidR="00BA664B">
        <w:rPr>
          <w:sz w:val="22"/>
          <w:szCs w:val="22"/>
          <w:lang w:val="en-US"/>
        </w:rPr>
        <w:t>;</w:t>
      </w:r>
    </w:p>
    <w:p w14:paraId="11AC13B0" w14:textId="502D1AC9" w:rsidR="00593C5B" w:rsidRDefault="00593C5B" w:rsidP="00C558E2">
      <w:pPr>
        <w:pStyle w:val="ListParagraph"/>
        <w:numPr>
          <w:ilvl w:val="0"/>
          <w:numId w:val="11"/>
        </w:numPr>
        <w:jc w:val="both"/>
        <w:rPr>
          <w:sz w:val="22"/>
          <w:szCs w:val="22"/>
          <w:lang w:val="en-US"/>
        </w:rPr>
      </w:pPr>
      <w:r w:rsidRPr="00593C5B">
        <w:rPr>
          <w:sz w:val="22"/>
          <w:szCs w:val="22"/>
          <w:lang w:val="en-US"/>
        </w:rPr>
        <w:t>The partnership proposal should be aligned with the thematic focus of this Call for Partnerships (bolstering the legal protection of environmental journalists and/or reducing impunity related to cases of violence, threats and attacks against them</w:t>
      </w:r>
      <w:r w:rsidR="00C558E2">
        <w:rPr>
          <w:sz w:val="22"/>
          <w:szCs w:val="22"/>
          <w:lang w:val="en-US"/>
        </w:rPr>
        <w:t>);</w:t>
      </w:r>
    </w:p>
    <w:p w14:paraId="7E7A9F82" w14:textId="72E21259" w:rsidR="00C558E2" w:rsidRPr="00C558E2" w:rsidRDefault="00C558E2" w:rsidP="00C558E2">
      <w:pPr>
        <w:pStyle w:val="ListParagraph"/>
        <w:numPr>
          <w:ilvl w:val="0"/>
          <w:numId w:val="11"/>
        </w:numPr>
        <w:jc w:val="both"/>
        <w:rPr>
          <w:sz w:val="22"/>
          <w:szCs w:val="22"/>
          <w:lang w:val="en-US"/>
        </w:rPr>
      </w:pPr>
      <w:r>
        <w:rPr>
          <w:sz w:val="22"/>
          <w:szCs w:val="22"/>
          <w:lang w:val="en-US"/>
        </w:rPr>
        <w:t xml:space="preserve">Advocacy and awareness-raising activities are </w:t>
      </w:r>
      <w:r w:rsidRPr="00DA687D">
        <w:rPr>
          <w:sz w:val="22"/>
          <w:szCs w:val="22"/>
          <w:u w:val="single"/>
          <w:lang w:val="en-US"/>
        </w:rPr>
        <w:t>not</w:t>
      </w:r>
      <w:r>
        <w:rPr>
          <w:sz w:val="22"/>
          <w:szCs w:val="22"/>
          <w:lang w:val="en-US"/>
        </w:rPr>
        <w:t xml:space="preserve"> </w:t>
      </w:r>
      <w:r w:rsidR="00DA687D">
        <w:rPr>
          <w:sz w:val="22"/>
          <w:szCs w:val="22"/>
          <w:lang w:val="en-US"/>
        </w:rPr>
        <w:t>a priority under the GMDF</w:t>
      </w:r>
      <w:r w:rsidR="00411F75">
        <w:rPr>
          <w:sz w:val="22"/>
          <w:szCs w:val="22"/>
          <w:lang w:val="en-US"/>
        </w:rPr>
        <w:t>, but</w:t>
      </w:r>
      <w:r w:rsidR="00A116D4">
        <w:rPr>
          <w:sz w:val="22"/>
          <w:szCs w:val="22"/>
          <w:lang w:val="en-US"/>
        </w:rPr>
        <w:t xml:space="preserve"> may</w:t>
      </w:r>
      <w:r w:rsidR="00411F75">
        <w:rPr>
          <w:sz w:val="22"/>
          <w:szCs w:val="22"/>
          <w:lang w:val="en-US"/>
        </w:rPr>
        <w:t xml:space="preserve"> </w:t>
      </w:r>
      <w:r w:rsidR="00B13701">
        <w:rPr>
          <w:sz w:val="22"/>
          <w:szCs w:val="22"/>
          <w:lang w:val="en-US"/>
        </w:rPr>
        <w:t>(</w:t>
      </w:r>
      <w:r w:rsidR="00411F75" w:rsidRPr="00B13701">
        <w:rPr>
          <w:sz w:val="22"/>
          <w:szCs w:val="22"/>
          <w:lang w:val="en-US"/>
        </w:rPr>
        <w:t>only</w:t>
      </w:r>
      <w:r w:rsidR="00B13701">
        <w:rPr>
          <w:sz w:val="22"/>
          <w:szCs w:val="22"/>
          <w:lang w:val="en-US"/>
        </w:rPr>
        <w:t>)</w:t>
      </w:r>
      <w:r w:rsidR="00411F75" w:rsidRPr="00B13701">
        <w:rPr>
          <w:sz w:val="22"/>
          <w:szCs w:val="22"/>
          <w:lang w:val="en-US"/>
        </w:rPr>
        <w:t xml:space="preserve"> </w:t>
      </w:r>
      <w:r w:rsidR="00A116D4">
        <w:rPr>
          <w:sz w:val="22"/>
          <w:szCs w:val="22"/>
          <w:lang w:val="en-US"/>
        </w:rPr>
        <w:t xml:space="preserve">be supported </w:t>
      </w:r>
      <w:r w:rsidR="00411F75">
        <w:rPr>
          <w:sz w:val="22"/>
          <w:szCs w:val="22"/>
          <w:lang w:val="en-US"/>
        </w:rPr>
        <w:t>as complementary activities to the main action or as part of a project’s communication and visibility strategy.</w:t>
      </w:r>
      <w:r>
        <w:rPr>
          <w:sz w:val="22"/>
          <w:szCs w:val="22"/>
          <w:lang w:val="en-US"/>
        </w:rPr>
        <w:t xml:space="preserve"> </w:t>
      </w:r>
    </w:p>
    <w:p w14:paraId="7597E634" w14:textId="6E2D591C" w:rsidR="00A7451A" w:rsidRPr="008F0819" w:rsidRDefault="00A7451A" w:rsidP="00A7451A">
      <w:pPr>
        <w:shd w:val="clear" w:color="auto" w:fill="215E99" w:themeFill="text2" w:themeFillTint="BF"/>
        <w:tabs>
          <w:tab w:val="center" w:pos="4536"/>
          <w:tab w:val="left" w:pos="7095"/>
        </w:tabs>
        <w:spacing w:before="240" w:after="100" w:afterAutospacing="1"/>
        <w:jc w:val="both"/>
        <w:outlineLvl w:val="2"/>
        <w:rPr>
          <w:rFonts w:cs="Arial"/>
          <w:b/>
          <w:bCs/>
          <w:color w:val="FFFFFF" w:themeColor="background1"/>
          <w:sz w:val="44"/>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07654">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w:t>
      </w:r>
      <w:r w:rsidR="00915EFE">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w:t>
      </w:r>
      <w:r>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w:t>
      </w:r>
      <w:r w:rsidRPr="00207654">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B700BE">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ADMISSIBILITY AND ELIGIBILITY CRITERIA</w:t>
      </w:r>
    </w:p>
    <w:p w14:paraId="7A0E4D9F" w14:textId="0E6C211E" w:rsidR="004301A6" w:rsidRPr="00A81733" w:rsidRDefault="00A560FA" w:rsidP="00A560FA">
      <w:pPr>
        <w:jc w:val="both"/>
        <w:rPr>
          <w:b/>
          <w:bCs/>
          <w:sz w:val="22"/>
          <w:szCs w:val="22"/>
          <w:lang w:val="en-US"/>
        </w:rPr>
      </w:pPr>
      <w:r w:rsidRPr="00A560FA">
        <w:rPr>
          <w:b/>
          <w:bCs/>
          <w:sz w:val="22"/>
          <w:szCs w:val="20"/>
          <w:lang w:val="en-US"/>
        </w:rPr>
        <w:t xml:space="preserve">Only submissions which comply with the admissibility and eligibility criteria will be subject </w:t>
      </w:r>
      <w:r w:rsidRPr="00A81733">
        <w:rPr>
          <w:b/>
          <w:bCs/>
          <w:sz w:val="22"/>
          <w:szCs w:val="22"/>
          <w:lang w:val="en-US"/>
        </w:rPr>
        <w:t>of an in-depth evaluation.</w:t>
      </w:r>
    </w:p>
    <w:p w14:paraId="0EC19CB6" w14:textId="77777777" w:rsidR="00A81733" w:rsidRPr="00A81733" w:rsidRDefault="00A81733" w:rsidP="00A81733">
      <w:pPr>
        <w:jc w:val="both"/>
        <w:rPr>
          <w:b/>
          <w:bCs/>
          <w:sz w:val="22"/>
          <w:szCs w:val="22"/>
          <w:lang w:val="en-US"/>
        </w:rPr>
      </w:pPr>
      <w:r w:rsidRPr="00A81733">
        <w:rPr>
          <w:b/>
          <w:bCs/>
          <w:sz w:val="22"/>
          <w:szCs w:val="22"/>
          <w:highlight w:val="lightGray"/>
          <w:lang w:val="en-US"/>
        </w:rPr>
        <w:t>3.1.</w:t>
      </w:r>
      <w:r w:rsidRPr="00A81733">
        <w:rPr>
          <w:b/>
          <w:bCs/>
          <w:sz w:val="22"/>
          <w:szCs w:val="22"/>
          <w:highlight w:val="lightGray"/>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ADMISSIBILITY</w:t>
      </w:r>
    </w:p>
    <w:p w14:paraId="34A5A033" w14:textId="386DF098" w:rsidR="00A81733" w:rsidRPr="00A81733" w:rsidRDefault="00A81733" w:rsidP="00A81733">
      <w:pPr>
        <w:jc w:val="both"/>
        <w:rPr>
          <w:sz w:val="22"/>
          <w:szCs w:val="22"/>
          <w:lang w:val="en-US"/>
        </w:rPr>
      </w:pPr>
      <w:r>
        <w:rPr>
          <w:sz w:val="22"/>
          <w:szCs w:val="22"/>
          <w:lang w:val="en-US"/>
        </w:rPr>
        <w:t>A</w:t>
      </w:r>
      <w:r w:rsidRPr="00A81733">
        <w:rPr>
          <w:sz w:val="22"/>
          <w:szCs w:val="22"/>
          <w:lang w:val="en-US"/>
        </w:rPr>
        <w:t>dmissibility conditions are as follows:</w:t>
      </w:r>
    </w:p>
    <w:p w14:paraId="77BF0116" w14:textId="631980A2" w:rsidR="00A81733" w:rsidRPr="00676AFB" w:rsidRDefault="00A81733" w:rsidP="00676AFB">
      <w:pPr>
        <w:pStyle w:val="ListParagraph"/>
        <w:numPr>
          <w:ilvl w:val="0"/>
          <w:numId w:val="10"/>
        </w:numPr>
        <w:spacing w:line="259" w:lineRule="auto"/>
        <w:jc w:val="both"/>
        <w:rPr>
          <w:sz w:val="22"/>
          <w:szCs w:val="22"/>
          <w:lang w:val="en-US"/>
        </w:rPr>
      </w:pPr>
      <w:r w:rsidRPr="00A81733">
        <w:rPr>
          <w:sz w:val="22"/>
          <w:szCs w:val="22"/>
          <w:lang w:val="en-US"/>
        </w:rPr>
        <w:t xml:space="preserve">The proposal (Application Form and Budget) and supporting documents must be submitted </w:t>
      </w:r>
      <w:r w:rsidRPr="00676AFB">
        <w:rPr>
          <w:b/>
          <w:bCs/>
          <w:sz w:val="22"/>
          <w:szCs w:val="22"/>
          <w:lang w:val="en-US"/>
        </w:rPr>
        <w:t>via email</w:t>
      </w:r>
      <w:r w:rsidRPr="00A81733">
        <w:rPr>
          <w:sz w:val="22"/>
          <w:szCs w:val="22"/>
          <w:lang w:val="en-US"/>
        </w:rPr>
        <w:t xml:space="preserve"> to</w:t>
      </w:r>
      <w:r w:rsidR="005F7677">
        <w:rPr>
          <w:sz w:val="22"/>
          <w:szCs w:val="22"/>
          <w:lang w:val="en-US"/>
        </w:rPr>
        <w:t xml:space="preserve"> </w:t>
      </w:r>
      <w:hyperlink r:id="rId16" w:history="1">
        <w:r w:rsidR="005F7677" w:rsidRPr="00D12A78">
          <w:rPr>
            <w:rStyle w:val="Hyperlink"/>
            <w:sz w:val="22"/>
            <w:szCs w:val="22"/>
            <w:lang w:val="en-US"/>
          </w:rPr>
          <w:t>gmdf@unesco.org</w:t>
        </w:r>
      </w:hyperlink>
      <w:r w:rsidRPr="005F7677">
        <w:rPr>
          <w:sz w:val="22"/>
          <w:szCs w:val="22"/>
          <w:lang w:val="en-US"/>
        </w:rPr>
        <w:t xml:space="preserve"> </w:t>
      </w:r>
      <w:r w:rsidR="005F7677" w:rsidRPr="005F7677">
        <w:rPr>
          <w:sz w:val="22"/>
          <w:szCs w:val="22"/>
          <w:lang w:val="en-US"/>
        </w:rPr>
        <w:t xml:space="preserve">by </w:t>
      </w:r>
      <w:r w:rsidR="00676AFB">
        <w:rPr>
          <w:sz w:val="22"/>
          <w:szCs w:val="22"/>
          <w:lang w:val="en-US"/>
        </w:rPr>
        <w:t>the set</w:t>
      </w:r>
      <w:r w:rsidR="001E1A71" w:rsidRPr="00676AFB">
        <w:rPr>
          <w:b/>
          <w:bCs/>
          <w:sz w:val="22"/>
          <w:szCs w:val="22"/>
          <w:lang w:val="en-US"/>
        </w:rPr>
        <w:t xml:space="preserve"> deadline</w:t>
      </w:r>
      <w:r w:rsidR="001E1A71">
        <w:rPr>
          <w:sz w:val="22"/>
          <w:szCs w:val="22"/>
          <w:lang w:val="en-US"/>
        </w:rPr>
        <w:t xml:space="preserve"> (Friday </w:t>
      </w:r>
      <w:r w:rsidR="00C21F7C">
        <w:rPr>
          <w:sz w:val="22"/>
          <w:szCs w:val="22"/>
          <w:lang w:val="en-US"/>
        </w:rPr>
        <w:t>18</w:t>
      </w:r>
      <w:r w:rsidR="001E1A71">
        <w:rPr>
          <w:sz w:val="22"/>
          <w:szCs w:val="22"/>
          <w:lang w:val="en-US"/>
        </w:rPr>
        <w:t xml:space="preserve"> October 2024, 23:59 GMT+2);</w:t>
      </w:r>
    </w:p>
    <w:p w14:paraId="7599A8F7" w14:textId="51E1394D" w:rsidR="00A81733" w:rsidRPr="00A81733" w:rsidRDefault="00A81733" w:rsidP="00A81733">
      <w:pPr>
        <w:pStyle w:val="ListParagraph"/>
        <w:numPr>
          <w:ilvl w:val="0"/>
          <w:numId w:val="10"/>
        </w:numPr>
        <w:spacing w:line="259" w:lineRule="auto"/>
        <w:jc w:val="both"/>
        <w:rPr>
          <w:sz w:val="22"/>
          <w:szCs w:val="22"/>
          <w:lang w:val="en-US"/>
        </w:rPr>
      </w:pPr>
      <w:r w:rsidRPr="00A81733">
        <w:rPr>
          <w:sz w:val="22"/>
          <w:szCs w:val="22"/>
          <w:lang w:val="en-US"/>
        </w:rPr>
        <w:t xml:space="preserve">The proposal submitted </w:t>
      </w:r>
      <w:r w:rsidRPr="00676AFB">
        <w:rPr>
          <w:b/>
          <w:bCs/>
          <w:sz w:val="22"/>
          <w:szCs w:val="22"/>
          <w:lang w:val="en-US"/>
        </w:rPr>
        <w:t xml:space="preserve">must be complete and in the right format </w:t>
      </w:r>
      <w:r w:rsidRPr="00A81733">
        <w:rPr>
          <w:sz w:val="22"/>
          <w:szCs w:val="22"/>
          <w:lang w:val="en-US"/>
        </w:rPr>
        <w:t>(see required forms, documents and format under section VII below)</w:t>
      </w:r>
      <w:r w:rsidR="00676AFB">
        <w:rPr>
          <w:sz w:val="22"/>
          <w:szCs w:val="22"/>
          <w:lang w:val="en-US"/>
        </w:rPr>
        <w:t>;</w:t>
      </w:r>
    </w:p>
    <w:p w14:paraId="761E6827" w14:textId="5F602AB7" w:rsidR="00A81733" w:rsidRDefault="00A81733" w:rsidP="00A560FA">
      <w:pPr>
        <w:pStyle w:val="ListParagraph"/>
        <w:numPr>
          <w:ilvl w:val="0"/>
          <w:numId w:val="10"/>
        </w:numPr>
        <w:spacing w:line="259" w:lineRule="auto"/>
        <w:jc w:val="both"/>
        <w:rPr>
          <w:sz w:val="22"/>
          <w:szCs w:val="22"/>
          <w:lang w:val="en-US"/>
        </w:rPr>
      </w:pPr>
      <w:r w:rsidRPr="00A81733">
        <w:rPr>
          <w:sz w:val="22"/>
          <w:szCs w:val="22"/>
          <w:lang w:val="en-US"/>
        </w:rPr>
        <w:t xml:space="preserve">The proposal and supporting documents </w:t>
      </w:r>
      <w:r w:rsidRPr="002C5747">
        <w:rPr>
          <w:b/>
          <w:bCs/>
          <w:sz w:val="22"/>
          <w:szCs w:val="22"/>
          <w:lang w:val="en-US"/>
        </w:rPr>
        <w:t>must be signed and dated</w:t>
      </w:r>
      <w:r w:rsidR="002C5747">
        <w:rPr>
          <w:sz w:val="22"/>
          <w:szCs w:val="22"/>
          <w:lang w:val="en-US"/>
        </w:rPr>
        <w:t>,</w:t>
      </w:r>
      <w:r w:rsidRPr="002C5747">
        <w:rPr>
          <w:b/>
          <w:bCs/>
          <w:sz w:val="22"/>
          <w:szCs w:val="22"/>
          <w:lang w:val="en-US"/>
        </w:rPr>
        <w:t xml:space="preserve"> where required</w:t>
      </w:r>
      <w:r w:rsidRPr="00A81733">
        <w:rPr>
          <w:sz w:val="22"/>
          <w:szCs w:val="22"/>
          <w:lang w:val="en-US"/>
        </w:rPr>
        <w:t>, by the authorized representative of the candidate partner.</w:t>
      </w:r>
    </w:p>
    <w:p w14:paraId="2DA9A08B" w14:textId="77777777" w:rsidR="00473AF0" w:rsidRPr="00473AF0" w:rsidRDefault="00473AF0" w:rsidP="007E4E38">
      <w:pPr>
        <w:pStyle w:val="ListParagraph"/>
        <w:spacing w:after="0" w:line="259" w:lineRule="auto"/>
        <w:jc w:val="both"/>
        <w:rPr>
          <w:sz w:val="22"/>
          <w:szCs w:val="22"/>
          <w:lang w:val="en-US"/>
        </w:rPr>
      </w:pPr>
    </w:p>
    <w:p w14:paraId="615C75D5" w14:textId="6E792869" w:rsidR="00473AF0" w:rsidRPr="00A81733" w:rsidRDefault="00473AF0" w:rsidP="00473AF0">
      <w:pPr>
        <w:jc w:val="both"/>
        <w:rPr>
          <w:b/>
          <w:bCs/>
          <w:sz w:val="22"/>
          <w:szCs w:val="22"/>
          <w:lang w:val="en-US"/>
        </w:rPr>
      </w:pPr>
      <w:r w:rsidRPr="00A81733">
        <w:rPr>
          <w:b/>
          <w:bCs/>
          <w:sz w:val="22"/>
          <w:szCs w:val="22"/>
          <w:highlight w:val="lightGray"/>
          <w:lang w:val="en-US"/>
        </w:rPr>
        <w:t>3.</w:t>
      </w:r>
      <w:r>
        <w:rPr>
          <w:b/>
          <w:bCs/>
          <w:sz w:val="22"/>
          <w:szCs w:val="22"/>
          <w:highlight w:val="lightGray"/>
          <w:lang w:val="en-US"/>
        </w:rPr>
        <w:t>2</w:t>
      </w:r>
      <w:r w:rsidRPr="00A81733">
        <w:rPr>
          <w:b/>
          <w:bCs/>
          <w:sz w:val="22"/>
          <w:szCs w:val="22"/>
          <w:highlight w:val="lightGray"/>
          <w:lang w:val="en-US"/>
        </w:rPr>
        <w:t>.</w:t>
      </w:r>
      <w:r w:rsidRPr="00A81733">
        <w:rPr>
          <w:b/>
          <w:bCs/>
          <w:sz w:val="22"/>
          <w:szCs w:val="22"/>
          <w:highlight w:val="lightGray"/>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bCs/>
          <w:sz w:val="22"/>
          <w:szCs w:val="22"/>
          <w:highlight w:val="lightGray"/>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ELIGIBILITY</w:t>
      </w:r>
    </w:p>
    <w:p w14:paraId="051B74BB" w14:textId="693139CA" w:rsidR="00A81733" w:rsidRDefault="00C96669" w:rsidP="00473AF0">
      <w:pPr>
        <w:jc w:val="both"/>
        <w:rPr>
          <w:sz w:val="22"/>
          <w:szCs w:val="22"/>
          <w:lang w:val="en-US"/>
        </w:rPr>
      </w:pPr>
      <w:r>
        <w:rPr>
          <w:sz w:val="22"/>
          <w:szCs w:val="22"/>
          <w:lang w:val="en-US"/>
        </w:rPr>
        <w:t>Eligibility conditions are as follows:</w:t>
      </w:r>
    </w:p>
    <w:p w14:paraId="481C78CD" w14:textId="6883BFFE" w:rsidR="00D83217" w:rsidRPr="00A81733" w:rsidRDefault="00D83217" w:rsidP="00D83217">
      <w:pPr>
        <w:jc w:val="both"/>
        <w:rPr>
          <w:b/>
          <w:bCs/>
          <w:sz w:val="22"/>
          <w:szCs w:val="22"/>
          <w:lang w:val="en-US"/>
        </w:rPr>
      </w:pPr>
      <w:r w:rsidRPr="00A81733">
        <w:rPr>
          <w:b/>
          <w:bCs/>
          <w:sz w:val="22"/>
          <w:szCs w:val="22"/>
          <w:highlight w:val="lightGray"/>
          <w:lang w:val="en-US"/>
        </w:rPr>
        <w:t>3.</w:t>
      </w:r>
      <w:r>
        <w:rPr>
          <w:b/>
          <w:bCs/>
          <w:sz w:val="22"/>
          <w:szCs w:val="22"/>
          <w:highlight w:val="lightGray"/>
          <w:lang w:val="en-US"/>
        </w:rPr>
        <w:t>2.1. ELIGIBLE CANDIDATES</w:t>
      </w:r>
    </w:p>
    <w:p w14:paraId="1344BD01" w14:textId="77777777" w:rsidR="00B10BE9" w:rsidRPr="007A0968" w:rsidRDefault="005B61F9" w:rsidP="00B10BE9">
      <w:pPr>
        <w:jc w:val="both"/>
        <w:rPr>
          <w:sz w:val="22"/>
          <w:szCs w:val="22"/>
          <w:lang w:val="en-US"/>
        </w:rPr>
      </w:pPr>
      <w:r w:rsidRPr="00B10BE9">
        <w:rPr>
          <w:sz w:val="22"/>
          <w:szCs w:val="22"/>
          <w:lang w:val="en-US"/>
        </w:rPr>
        <w:t xml:space="preserve">Candidate implementation partners must comply with </w:t>
      </w:r>
      <w:r w:rsidR="006D1615" w:rsidRPr="00B10BE9">
        <w:rPr>
          <w:sz w:val="22"/>
          <w:szCs w:val="22"/>
          <w:lang w:val="en-US"/>
        </w:rPr>
        <w:t>the following criteria:</w:t>
      </w:r>
    </w:p>
    <w:p w14:paraId="4F13804A" w14:textId="77777777" w:rsidR="00B10BE9" w:rsidRPr="00B10BE9" w:rsidRDefault="00B10BE9" w:rsidP="00B10BE9">
      <w:pPr>
        <w:pStyle w:val="ListParagraph"/>
        <w:numPr>
          <w:ilvl w:val="0"/>
          <w:numId w:val="12"/>
        </w:numPr>
        <w:spacing w:line="259" w:lineRule="auto"/>
        <w:jc w:val="both"/>
        <w:rPr>
          <w:sz w:val="22"/>
          <w:szCs w:val="22"/>
        </w:rPr>
      </w:pPr>
      <w:r w:rsidRPr="00B10BE9">
        <w:rPr>
          <w:b/>
          <w:bCs/>
          <w:sz w:val="22"/>
          <w:szCs w:val="22"/>
          <w:u w:val="single"/>
        </w:rPr>
        <w:t>Legal Status</w:t>
      </w:r>
      <w:r w:rsidRPr="00B10BE9">
        <w:rPr>
          <w:b/>
          <w:bCs/>
          <w:sz w:val="22"/>
          <w:szCs w:val="22"/>
        </w:rPr>
        <w:t>:</w:t>
      </w:r>
    </w:p>
    <w:p w14:paraId="3A2D882D" w14:textId="5103979E" w:rsidR="00B10BE9" w:rsidRDefault="00B10BE9" w:rsidP="00B10BE9">
      <w:pPr>
        <w:jc w:val="both"/>
        <w:rPr>
          <w:sz w:val="22"/>
          <w:szCs w:val="22"/>
          <w:lang w:val="en-US"/>
        </w:rPr>
      </w:pPr>
      <w:r w:rsidRPr="00B10BE9">
        <w:rPr>
          <w:sz w:val="22"/>
          <w:szCs w:val="22"/>
          <w:lang w:val="en-US"/>
        </w:rPr>
        <w:t xml:space="preserve">This Call for Partnerships is open to </w:t>
      </w:r>
      <w:r w:rsidRPr="00B10BE9">
        <w:rPr>
          <w:b/>
          <w:bCs/>
          <w:sz w:val="22"/>
          <w:szCs w:val="22"/>
          <w:lang w:val="en-US"/>
        </w:rPr>
        <w:t>not-for-profit entities only</w:t>
      </w:r>
      <w:r w:rsidRPr="00B10BE9">
        <w:rPr>
          <w:sz w:val="22"/>
          <w:szCs w:val="22"/>
          <w:lang w:val="en-US"/>
        </w:rPr>
        <w:t xml:space="preserve"> (</w:t>
      </w:r>
      <w:r>
        <w:rPr>
          <w:sz w:val="22"/>
          <w:szCs w:val="20"/>
          <w:lang w:val="en-US"/>
        </w:rPr>
        <w:t>non-governmental organizations, foundations, professional associations, academic institutions, and intergovernmental organizations, among many others</w:t>
      </w:r>
      <w:r w:rsidRPr="00B10BE9">
        <w:rPr>
          <w:sz w:val="22"/>
          <w:szCs w:val="22"/>
          <w:lang w:val="en-US"/>
        </w:rPr>
        <w:t xml:space="preserve">). </w:t>
      </w:r>
      <w:r w:rsidR="001F3DBD" w:rsidRPr="001F3DBD">
        <w:rPr>
          <w:sz w:val="22"/>
          <w:szCs w:val="22"/>
          <w:lang w:val="en-US"/>
        </w:rPr>
        <w:t xml:space="preserve">As defined in the System of National Accounts elaborated by the United Nations Statistics Division, non-profit institutions are legal or social entities created </w:t>
      </w:r>
      <w:r w:rsidR="001F3DBD" w:rsidRPr="001F3DBD">
        <w:rPr>
          <w:sz w:val="22"/>
          <w:szCs w:val="22"/>
          <w:lang w:val="en-US"/>
        </w:rPr>
        <w:lastRenderedPageBreak/>
        <w:t>for the purpose of producing goods and services whose status does not permit them to be a source of income, profit or other financial gain for the units that establish, control or finance them</w:t>
      </w:r>
      <w:r w:rsidR="00392606">
        <w:rPr>
          <w:sz w:val="22"/>
          <w:szCs w:val="22"/>
          <w:lang w:val="en-US"/>
        </w:rPr>
        <w:t>.</w:t>
      </w:r>
    </w:p>
    <w:p w14:paraId="1AD91AE8" w14:textId="77D93291" w:rsidR="00B10BE9" w:rsidRPr="00B10BE9" w:rsidRDefault="00406C1F" w:rsidP="00B10BE9">
      <w:pPr>
        <w:jc w:val="both"/>
        <w:rPr>
          <w:sz w:val="22"/>
          <w:szCs w:val="22"/>
          <w:lang w:val="en-US"/>
        </w:rPr>
      </w:pPr>
      <w:r>
        <w:rPr>
          <w:sz w:val="22"/>
          <w:szCs w:val="22"/>
          <w:lang w:val="en-US"/>
        </w:rPr>
        <w:t>C</w:t>
      </w:r>
      <w:r w:rsidR="00B10BE9" w:rsidRPr="00B10BE9">
        <w:rPr>
          <w:sz w:val="22"/>
          <w:szCs w:val="22"/>
          <w:lang w:val="en-US"/>
        </w:rPr>
        <w:t xml:space="preserve">andidate partners must have been </w:t>
      </w:r>
      <w:r w:rsidR="00B10BE9" w:rsidRPr="00B10BE9">
        <w:rPr>
          <w:b/>
          <w:bCs/>
          <w:sz w:val="22"/>
          <w:szCs w:val="22"/>
          <w:lang w:val="en-US"/>
        </w:rPr>
        <w:t>active and registered as not-for-profit entities for at least two years</w:t>
      </w:r>
      <w:r w:rsidR="00B10BE9" w:rsidRPr="00B10BE9">
        <w:rPr>
          <w:sz w:val="22"/>
          <w:szCs w:val="22"/>
          <w:lang w:val="en-US"/>
        </w:rPr>
        <w:t xml:space="preserve">. </w:t>
      </w:r>
    </w:p>
    <w:p w14:paraId="229112DA" w14:textId="4A624E37" w:rsidR="008334CB" w:rsidRDefault="00B10BE9" w:rsidP="00B10BE9">
      <w:pPr>
        <w:jc w:val="both"/>
        <w:rPr>
          <w:sz w:val="22"/>
          <w:szCs w:val="22"/>
          <w:lang w:val="en-US"/>
        </w:rPr>
      </w:pPr>
      <w:r w:rsidRPr="00B10BE9">
        <w:rPr>
          <w:sz w:val="22"/>
          <w:szCs w:val="22"/>
          <w:lang w:val="en-US"/>
        </w:rPr>
        <w:t>Natural persons, private companies, unincorporated entities</w:t>
      </w:r>
      <w:r w:rsidR="00C77270">
        <w:rPr>
          <w:sz w:val="22"/>
          <w:szCs w:val="22"/>
          <w:lang w:val="en-US"/>
        </w:rPr>
        <w:t>,</w:t>
      </w:r>
      <w:r w:rsidRPr="00B10BE9">
        <w:rPr>
          <w:sz w:val="22"/>
          <w:szCs w:val="22"/>
          <w:lang w:val="en-US"/>
        </w:rPr>
        <w:t xml:space="preserve"> and </w:t>
      </w:r>
      <w:r w:rsidR="00C77270">
        <w:rPr>
          <w:sz w:val="22"/>
          <w:szCs w:val="22"/>
          <w:lang w:val="en-US"/>
        </w:rPr>
        <w:t xml:space="preserve">incorporated non-profit </w:t>
      </w:r>
      <w:r w:rsidRPr="00B10BE9">
        <w:rPr>
          <w:sz w:val="22"/>
          <w:szCs w:val="22"/>
          <w:lang w:val="en-US"/>
        </w:rPr>
        <w:t>organizations with less than two years of</w:t>
      </w:r>
      <w:r w:rsidR="00E20855">
        <w:rPr>
          <w:sz w:val="22"/>
          <w:szCs w:val="22"/>
          <w:lang w:val="en-US"/>
        </w:rPr>
        <w:t xml:space="preserve"> activities as </w:t>
      </w:r>
      <w:r w:rsidR="009E136F">
        <w:rPr>
          <w:sz w:val="22"/>
          <w:szCs w:val="22"/>
          <w:lang w:val="en-US"/>
        </w:rPr>
        <w:t xml:space="preserve">legally </w:t>
      </w:r>
      <w:r w:rsidR="00E20855">
        <w:rPr>
          <w:sz w:val="22"/>
          <w:szCs w:val="22"/>
          <w:lang w:val="en-US"/>
        </w:rPr>
        <w:t>registered entit</w:t>
      </w:r>
      <w:r w:rsidR="00A82B7E">
        <w:rPr>
          <w:sz w:val="22"/>
          <w:szCs w:val="22"/>
          <w:lang w:val="en-US"/>
        </w:rPr>
        <w:t>ies</w:t>
      </w:r>
      <w:r w:rsidRPr="00B10BE9">
        <w:rPr>
          <w:sz w:val="22"/>
          <w:szCs w:val="22"/>
          <w:lang w:val="en-US"/>
        </w:rPr>
        <w:t xml:space="preserve"> are not eligible for funding.</w:t>
      </w:r>
    </w:p>
    <w:p w14:paraId="64101313" w14:textId="30EC4833" w:rsidR="008334CB" w:rsidRPr="004F4115" w:rsidRDefault="008334CB" w:rsidP="008334CB">
      <w:pPr>
        <w:pStyle w:val="ListParagraph"/>
        <w:numPr>
          <w:ilvl w:val="0"/>
          <w:numId w:val="12"/>
        </w:numPr>
        <w:spacing w:line="259" w:lineRule="auto"/>
        <w:jc w:val="both"/>
        <w:rPr>
          <w:sz w:val="22"/>
          <w:szCs w:val="22"/>
        </w:rPr>
      </w:pPr>
      <w:r>
        <w:rPr>
          <w:b/>
          <w:bCs/>
          <w:sz w:val="22"/>
          <w:szCs w:val="22"/>
          <w:u w:val="single"/>
        </w:rPr>
        <w:t>General Eligibility</w:t>
      </w:r>
      <w:r w:rsidRPr="00B10BE9">
        <w:rPr>
          <w:b/>
          <w:bCs/>
          <w:sz w:val="22"/>
          <w:szCs w:val="22"/>
        </w:rPr>
        <w:t>:</w:t>
      </w:r>
    </w:p>
    <w:p w14:paraId="57B8B53D" w14:textId="77777777" w:rsidR="008334CB" w:rsidRPr="00B10BE9" w:rsidRDefault="008334CB" w:rsidP="008334CB">
      <w:pPr>
        <w:pStyle w:val="ListParagraph"/>
        <w:spacing w:line="259" w:lineRule="auto"/>
        <w:jc w:val="both"/>
        <w:rPr>
          <w:sz w:val="22"/>
          <w:szCs w:val="22"/>
        </w:rPr>
      </w:pPr>
    </w:p>
    <w:p w14:paraId="17257995" w14:textId="77777777" w:rsidR="008334CB" w:rsidRDefault="008334CB" w:rsidP="00C67E45">
      <w:pPr>
        <w:pStyle w:val="ListParagraph"/>
        <w:numPr>
          <w:ilvl w:val="0"/>
          <w:numId w:val="13"/>
        </w:numPr>
        <w:spacing w:line="259" w:lineRule="auto"/>
        <w:jc w:val="both"/>
        <w:rPr>
          <w:sz w:val="22"/>
          <w:szCs w:val="22"/>
          <w:lang w:val="en-US"/>
        </w:rPr>
      </w:pPr>
      <w:r w:rsidRPr="004F4115">
        <w:rPr>
          <w:sz w:val="22"/>
          <w:szCs w:val="22"/>
          <w:lang w:val="en-US"/>
        </w:rPr>
        <w:t xml:space="preserve">Be able to make an effective contribution to the achievement of UNESCO’s objectives, in conformity with the principles proclaimed in </w:t>
      </w:r>
      <w:hyperlink r:id="rId17" w:anchor="page=6" w:history="1">
        <w:r w:rsidRPr="00C67E45">
          <w:rPr>
            <w:lang w:val="en-US"/>
          </w:rPr>
          <w:t>UNESCO’s Constitution</w:t>
        </w:r>
      </w:hyperlink>
      <w:r w:rsidRPr="004F4115">
        <w:rPr>
          <w:sz w:val="22"/>
          <w:szCs w:val="22"/>
          <w:lang w:val="en-US"/>
        </w:rPr>
        <w:t>;</w:t>
      </w:r>
    </w:p>
    <w:p w14:paraId="42961883" w14:textId="77777777" w:rsidR="008334CB" w:rsidRDefault="008334CB" w:rsidP="00C67E45">
      <w:pPr>
        <w:pStyle w:val="ListParagraph"/>
        <w:numPr>
          <w:ilvl w:val="0"/>
          <w:numId w:val="13"/>
        </w:numPr>
        <w:spacing w:line="259" w:lineRule="auto"/>
        <w:jc w:val="both"/>
        <w:rPr>
          <w:sz w:val="22"/>
          <w:szCs w:val="22"/>
          <w:lang w:val="en-US"/>
        </w:rPr>
      </w:pPr>
      <w:r w:rsidRPr="008334CB">
        <w:rPr>
          <w:sz w:val="22"/>
          <w:szCs w:val="22"/>
          <w:lang w:val="en-US"/>
        </w:rPr>
        <w:t>Display a commitment to defend and respect human rights, freedom of expression and gender equality;</w:t>
      </w:r>
    </w:p>
    <w:p w14:paraId="3FB1E163" w14:textId="560D8593" w:rsidR="008334CB" w:rsidRDefault="008334CB" w:rsidP="00C67E45">
      <w:pPr>
        <w:pStyle w:val="ListParagraph"/>
        <w:numPr>
          <w:ilvl w:val="0"/>
          <w:numId w:val="13"/>
        </w:numPr>
        <w:spacing w:line="259" w:lineRule="auto"/>
        <w:jc w:val="both"/>
        <w:rPr>
          <w:sz w:val="22"/>
          <w:szCs w:val="22"/>
          <w:lang w:val="en-US"/>
        </w:rPr>
      </w:pPr>
      <w:r w:rsidRPr="008334CB">
        <w:rPr>
          <w:sz w:val="22"/>
          <w:szCs w:val="22"/>
          <w:lang w:val="en-US"/>
        </w:rPr>
        <w:t xml:space="preserve">Provide ‘added value’ in terms of a monetary or in-kind contribution (the latter, quantified): candidate partners must be able to contribute </w:t>
      </w:r>
      <w:r w:rsidRPr="00E0211D">
        <w:rPr>
          <w:sz w:val="22"/>
          <w:szCs w:val="22"/>
          <w:u w:val="single"/>
          <w:lang w:val="en-US"/>
        </w:rPr>
        <w:t xml:space="preserve">at least </w:t>
      </w:r>
      <w:r w:rsidR="007F7E59" w:rsidRPr="00E0211D">
        <w:rPr>
          <w:sz w:val="22"/>
          <w:szCs w:val="22"/>
          <w:u w:val="single"/>
          <w:lang w:val="en-US"/>
        </w:rPr>
        <w:t>five percent</w:t>
      </w:r>
      <w:r w:rsidRPr="008334CB">
        <w:rPr>
          <w:sz w:val="22"/>
          <w:szCs w:val="22"/>
          <w:lang w:val="en-US"/>
        </w:rPr>
        <w:t xml:space="preserve"> of the total budget of the project, which </w:t>
      </w:r>
      <w:r w:rsidRPr="00C67E45">
        <w:rPr>
          <w:sz w:val="22"/>
          <w:szCs w:val="22"/>
          <w:lang w:val="en-US"/>
        </w:rPr>
        <w:t>must</w:t>
      </w:r>
      <w:r w:rsidRPr="008334CB">
        <w:rPr>
          <w:sz w:val="22"/>
          <w:szCs w:val="22"/>
          <w:lang w:val="en-US"/>
        </w:rPr>
        <w:t xml:space="preserve"> include direct costs relevant to the attainment of the objectives of the action (and not only costs related to the general operation of their organization – see “Eligible Costs” below for more detailed information);</w:t>
      </w:r>
    </w:p>
    <w:p w14:paraId="7C39FF9A" w14:textId="4905C0F2" w:rsidR="00414B41" w:rsidRPr="00414B41" w:rsidRDefault="00414B41" w:rsidP="00C67E45">
      <w:pPr>
        <w:pStyle w:val="ListParagraph"/>
        <w:numPr>
          <w:ilvl w:val="0"/>
          <w:numId w:val="13"/>
        </w:numPr>
        <w:spacing w:line="259" w:lineRule="auto"/>
        <w:jc w:val="both"/>
        <w:rPr>
          <w:sz w:val="22"/>
          <w:szCs w:val="22"/>
          <w:lang w:val="en-US"/>
        </w:rPr>
      </w:pPr>
      <w:r w:rsidRPr="00D93485">
        <w:rPr>
          <w:sz w:val="22"/>
          <w:szCs w:val="22"/>
          <w:lang w:val="en-US"/>
        </w:rPr>
        <w:t xml:space="preserve">Must not </w:t>
      </w:r>
      <w:r w:rsidRPr="008A5881">
        <w:rPr>
          <w:sz w:val="22"/>
          <w:szCs w:val="22"/>
          <w:lang w:val="en-US"/>
        </w:rPr>
        <w:t xml:space="preserve">appear on the </w:t>
      </w:r>
      <w:hyperlink r:id="rId18" w:history="1">
        <w:r w:rsidRPr="008A5881">
          <w:rPr>
            <w:rStyle w:val="Hyperlink"/>
            <w:sz w:val="22"/>
            <w:szCs w:val="22"/>
            <w:lang w:val="en-US"/>
          </w:rPr>
          <w:t>Consolidated United Nations Security Council Sanctions List</w:t>
        </w:r>
      </w:hyperlink>
      <w:r w:rsidRPr="008A5881">
        <w:rPr>
          <w:sz w:val="22"/>
          <w:szCs w:val="22"/>
          <w:lang w:val="en-US"/>
        </w:rPr>
        <w:t>, nor on the United Nations Global Marketplace vendor ineligibility list.</w:t>
      </w:r>
    </w:p>
    <w:p w14:paraId="688A3663" w14:textId="77777777" w:rsidR="00414B41" w:rsidRPr="00414B41" w:rsidRDefault="00414B41" w:rsidP="00414B41">
      <w:pPr>
        <w:pStyle w:val="ListParagraph"/>
        <w:spacing w:line="259" w:lineRule="auto"/>
        <w:jc w:val="both"/>
        <w:rPr>
          <w:sz w:val="22"/>
          <w:szCs w:val="22"/>
          <w:lang w:val="en-US"/>
        </w:rPr>
      </w:pPr>
    </w:p>
    <w:p w14:paraId="4E14D6F8" w14:textId="77777777" w:rsidR="00B10BE9" w:rsidRPr="008334CB" w:rsidRDefault="00B10BE9" w:rsidP="00B10BE9">
      <w:pPr>
        <w:pStyle w:val="ListParagraph"/>
        <w:numPr>
          <w:ilvl w:val="0"/>
          <w:numId w:val="12"/>
        </w:numPr>
        <w:spacing w:line="259" w:lineRule="auto"/>
        <w:jc w:val="both"/>
        <w:rPr>
          <w:sz w:val="22"/>
          <w:szCs w:val="22"/>
        </w:rPr>
      </w:pPr>
      <w:r w:rsidRPr="00B10BE9">
        <w:rPr>
          <w:b/>
          <w:bCs/>
          <w:sz w:val="22"/>
          <w:szCs w:val="22"/>
          <w:u w:val="single"/>
        </w:rPr>
        <w:t>Capacity</w:t>
      </w:r>
      <w:r w:rsidRPr="00B10BE9">
        <w:rPr>
          <w:b/>
          <w:bCs/>
          <w:sz w:val="22"/>
          <w:szCs w:val="22"/>
        </w:rPr>
        <w:t>:</w:t>
      </w:r>
    </w:p>
    <w:p w14:paraId="00855C67" w14:textId="77777777" w:rsidR="008334CB" w:rsidRPr="00B10BE9" w:rsidRDefault="008334CB" w:rsidP="008334CB">
      <w:pPr>
        <w:pStyle w:val="ListParagraph"/>
        <w:spacing w:line="259" w:lineRule="auto"/>
        <w:jc w:val="both"/>
        <w:rPr>
          <w:sz w:val="22"/>
          <w:szCs w:val="22"/>
        </w:rPr>
      </w:pPr>
    </w:p>
    <w:p w14:paraId="765F9F3F" w14:textId="52927C46" w:rsidR="00B10BE9" w:rsidRPr="00D93485" w:rsidRDefault="00B10BE9" w:rsidP="00B10BE9">
      <w:pPr>
        <w:pStyle w:val="ListParagraph"/>
        <w:numPr>
          <w:ilvl w:val="0"/>
          <w:numId w:val="13"/>
        </w:numPr>
        <w:spacing w:line="259" w:lineRule="auto"/>
        <w:jc w:val="both"/>
        <w:rPr>
          <w:sz w:val="22"/>
          <w:szCs w:val="22"/>
          <w:lang w:val="en-US"/>
        </w:rPr>
      </w:pPr>
      <w:r w:rsidRPr="00D93485">
        <w:rPr>
          <w:sz w:val="22"/>
          <w:szCs w:val="22"/>
          <w:lang w:val="en-US"/>
        </w:rPr>
        <w:t>Have a sound financial status: applicants must prove they have stable and sufficient sources of funding to maintain their activit</w:t>
      </w:r>
      <w:r w:rsidR="00EC1B37" w:rsidRPr="00D93485">
        <w:rPr>
          <w:sz w:val="22"/>
          <w:szCs w:val="22"/>
          <w:lang w:val="en-US"/>
        </w:rPr>
        <w:t>ies</w:t>
      </w:r>
      <w:r w:rsidRPr="00D93485">
        <w:rPr>
          <w:sz w:val="22"/>
          <w:szCs w:val="22"/>
          <w:lang w:val="en-US"/>
        </w:rPr>
        <w:t xml:space="preserve"> throughout the project period</w:t>
      </w:r>
      <w:r w:rsidR="00EF513C">
        <w:rPr>
          <w:sz w:val="22"/>
          <w:szCs w:val="22"/>
          <w:lang w:val="en-US"/>
        </w:rPr>
        <w:t>;</w:t>
      </w:r>
    </w:p>
    <w:p w14:paraId="6B387CDE" w14:textId="2F3D8619" w:rsidR="00117C36" w:rsidRPr="00D93485" w:rsidRDefault="00240CFE" w:rsidP="00B10BE9">
      <w:pPr>
        <w:pStyle w:val="ListParagraph"/>
        <w:numPr>
          <w:ilvl w:val="0"/>
          <w:numId w:val="13"/>
        </w:numPr>
        <w:spacing w:line="259" w:lineRule="auto"/>
        <w:jc w:val="both"/>
        <w:rPr>
          <w:sz w:val="22"/>
          <w:szCs w:val="22"/>
          <w:lang w:val="en-US"/>
        </w:rPr>
      </w:pPr>
      <w:bookmarkStart w:id="0" w:name="_Hlk66714749"/>
      <w:r w:rsidRPr="00D93485">
        <w:rPr>
          <w:sz w:val="22"/>
          <w:szCs w:val="22"/>
          <w:lang w:val="en-US"/>
        </w:rPr>
        <w:t>Have appropriate internal control procedures;</w:t>
      </w:r>
    </w:p>
    <w:p w14:paraId="37C8DCE0" w14:textId="426DBC33" w:rsidR="0061423C" w:rsidRDefault="00B74173" w:rsidP="003F2A34">
      <w:pPr>
        <w:pStyle w:val="ListParagraph"/>
        <w:numPr>
          <w:ilvl w:val="0"/>
          <w:numId w:val="13"/>
        </w:numPr>
        <w:spacing w:line="259" w:lineRule="auto"/>
        <w:jc w:val="both"/>
        <w:rPr>
          <w:sz w:val="22"/>
          <w:szCs w:val="22"/>
          <w:lang w:val="en-US"/>
        </w:rPr>
      </w:pPr>
      <w:r w:rsidRPr="00D93485">
        <w:rPr>
          <w:sz w:val="22"/>
          <w:szCs w:val="22"/>
          <w:lang w:val="en-US"/>
        </w:rPr>
        <w:t>Demonstrate they possess adequate facilities and have the capacity</w:t>
      </w:r>
      <w:r w:rsidR="0061423C" w:rsidRPr="00D93485">
        <w:rPr>
          <w:sz w:val="22"/>
          <w:szCs w:val="22"/>
          <w:lang w:val="en-US"/>
        </w:rPr>
        <w:t xml:space="preserve"> to</w:t>
      </w:r>
      <w:r w:rsidR="003F2A34" w:rsidRPr="00D93485">
        <w:rPr>
          <w:sz w:val="22"/>
          <w:szCs w:val="22"/>
          <w:lang w:val="en-US"/>
        </w:rPr>
        <w:t xml:space="preserve"> m</w:t>
      </w:r>
      <w:r w:rsidR="0061423C" w:rsidRPr="00D93485">
        <w:rPr>
          <w:sz w:val="22"/>
          <w:szCs w:val="22"/>
          <w:lang w:val="en-US"/>
        </w:rPr>
        <w:t>anage the volume of funds and to implement the agreed-upon activities in an efficient and effective manner</w:t>
      </w:r>
      <w:r w:rsidR="003F2A34" w:rsidRPr="00D93485">
        <w:rPr>
          <w:sz w:val="22"/>
          <w:szCs w:val="22"/>
          <w:lang w:val="en-US"/>
        </w:rPr>
        <w:t>, as well as p</w:t>
      </w:r>
      <w:r w:rsidR="0061423C" w:rsidRPr="00D93485">
        <w:rPr>
          <w:sz w:val="22"/>
          <w:szCs w:val="22"/>
          <w:lang w:val="en-US"/>
        </w:rPr>
        <w:t xml:space="preserve">articipate in planning, monitoring, and </w:t>
      </w:r>
      <w:r w:rsidR="001E1819" w:rsidRPr="00D93485">
        <w:rPr>
          <w:sz w:val="22"/>
          <w:szCs w:val="22"/>
          <w:lang w:val="en-US"/>
        </w:rPr>
        <w:t>assurance activities;</w:t>
      </w:r>
    </w:p>
    <w:p w14:paraId="6AA06A06" w14:textId="3270B909" w:rsidR="00150ADC" w:rsidRPr="00D93485" w:rsidRDefault="00150ADC" w:rsidP="003F2A34">
      <w:pPr>
        <w:pStyle w:val="ListParagraph"/>
        <w:numPr>
          <w:ilvl w:val="0"/>
          <w:numId w:val="13"/>
        </w:numPr>
        <w:spacing w:line="259" w:lineRule="auto"/>
        <w:jc w:val="both"/>
        <w:rPr>
          <w:sz w:val="22"/>
          <w:szCs w:val="22"/>
          <w:lang w:val="en-US"/>
        </w:rPr>
      </w:pPr>
      <w:r>
        <w:rPr>
          <w:sz w:val="22"/>
          <w:szCs w:val="22"/>
          <w:lang w:val="en-US"/>
        </w:rPr>
        <w:t>Demonstrate their capacity to operate in the target areas</w:t>
      </w:r>
      <w:r w:rsidR="009B2612">
        <w:rPr>
          <w:sz w:val="22"/>
          <w:szCs w:val="22"/>
          <w:lang w:val="en-US"/>
        </w:rPr>
        <w:t>;</w:t>
      </w:r>
    </w:p>
    <w:p w14:paraId="4D6D3D4E" w14:textId="41A35FB1" w:rsidR="00B10BE9" w:rsidRPr="00D93485" w:rsidRDefault="00B10BE9" w:rsidP="00B10BE9">
      <w:pPr>
        <w:pStyle w:val="ListParagraph"/>
        <w:numPr>
          <w:ilvl w:val="0"/>
          <w:numId w:val="13"/>
        </w:numPr>
        <w:spacing w:line="259" w:lineRule="auto"/>
        <w:jc w:val="both"/>
        <w:rPr>
          <w:sz w:val="22"/>
          <w:szCs w:val="22"/>
          <w:lang w:val="en-US"/>
        </w:rPr>
      </w:pPr>
      <w:r w:rsidRPr="00D93485">
        <w:rPr>
          <w:sz w:val="22"/>
          <w:szCs w:val="22"/>
          <w:lang w:val="en-US"/>
        </w:rPr>
        <w:t>Display managerial and record-keeping competencies, as well a</w:t>
      </w:r>
      <w:r w:rsidR="0010559A" w:rsidRPr="00D93485">
        <w:rPr>
          <w:sz w:val="22"/>
          <w:szCs w:val="22"/>
          <w:lang w:val="en-US"/>
        </w:rPr>
        <w:t>s permanent staff and the ability to manage and support staff in t</w:t>
      </w:r>
      <w:r w:rsidR="001B4A25" w:rsidRPr="00D93485">
        <w:rPr>
          <w:sz w:val="22"/>
          <w:szCs w:val="22"/>
          <w:lang w:val="en-US"/>
        </w:rPr>
        <w:t>he field (where applicable).</w:t>
      </w:r>
    </w:p>
    <w:bookmarkEnd w:id="0"/>
    <w:p w14:paraId="21E74D44" w14:textId="0376A20F" w:rsidR="00CE3ABE" w:rsidRDefault="00822BC1" w:rsidP="00B10BE9">
      <w:pPr>
        <w:jc w:val="both"/>
        <w:rPr>
          <w:sz w:val="22"/>
          <w:szCs w:val="22"/>
          <w:lang w:val="en-US"/>
        </w:rPr>
      </w:pPr>
      <w:r>
        <w:rPr>
          <w:sz w:val="22"/>
          <w:szCs w:val="22"/>
          <w:lang w:val="en-US"/>
        </w:rPr>
        <w:t xml:space="preserve">Preference </w:t>
      </w:r>
      <w:r w:rsidR="007818C1">
        <w:rPr>
          <w:sz w:val="22"/>
          <w:szCs w:val="22"/>
          <w:lang w:val="en-US"/>
        </w:rPr>
        <w:t xml:space="preserve">will be given to </w:t>
      </w:r>
      <w:r w:rsidR="007F27B3">
        <w:rPr>
          <w:sz w:val="22"/>
          <w:szCs w:val="22"/>
          <w:lang w:val="en-US"/>
        </w:rPr>
        <w:t>projects</w:t>
      </w:r>
      <w:r w:rsidR="00747185">
        <w:rPr>
          <w:sz w:val="22"/>
          <w:szCs w:val="22"/>
          <w:lang w:val="en-US"/>
        </w:rPr>
        <w:t xml:space="preserve"> designed and implemented predominantly by</w:t>
      </w:r>
      <w:r w:rsidR="007F27B3">
        <w:rPr>
          <w:sz w:val="22"/>
          <w:szCs w:val="22"/>
          <w:lang w:val="en-US"/>
        </w:rPr>
        <w:t xml:space="preserve"> </w:t>
      </w:r>
      <w:r w:rsidR="00740A76">
        <w:rPr>
          <w:sz w:val="22"/>
          <w:szCs w:val="22"/>
          <w:lang w:val="en-US"/>
        </w:rPr>
        <w:t>local/</w:t>
      </w:r>
      <w:r w:rsidR="00B41C7E">
        <w:rPr>
          <w:sz w:val="22"/>
          <w:szCs w:val="22"/>
          <w:lang w:val="en-US"/>
        </w:rPr>
        <w:t>grassroot</w:t>
      </w:r>
      <w:r w:rsidR="00B41C7E" w:rsidRPr="003C0749">
        <w:rPr>
          <w:sz w:val="22"/>
          <w:szCs w:val="22"/>
          <w:lang w:val="en-US"/>
        </w:rPr>
        <w:t xml:space="preserve"> </w:t>
      </w:r>
      <w:r w:rsidR="007F27B3" w:rsidRPr="003C0749">
        <w:rPr>
          <w:sz w:val="22"/>
          <w:szCs w:val="22"/>
          <w:lang w:val="en-US"/>
        </w:rPr>
        <w:t>partners</w:t>
      </w:r>
      <w:r w:rsidR="00B41C7E">
        <w:rPr>
          <w:sz w:val="22"/>
          <w:szCs w:val="22"/>
          <w:lang w:val="en-US"/>
        </w:rPr>
        <w:t>, including those rooted with</w:t>
      </w:r>
      <w:r w:rsidR="00507C5E">
        <w:rPr>
          <w:sz w:val="22"/>
          <w:szCs w:val="22"/>
          <w:lang w:val="en-US"/>
        </w:rPr>
        <w:t>in</w:t>
      </w:r>
      <w:r w:rsidR="00B41C7E">
        <w:rPr>
          <w:sz w:val="22"/>
          <w:szCs w:val="22"/>
          <w:lang w:val="en-US"/>
        </w:rPr>
        <w:t xml:space="preserve"> indigenous communities</w:t>
      </w:r>
      <w:r w:rsidR="00507C5E">
        <w:rPr>
          <w:sz w:val="22"/>
          <w:szCs w:val="22"/>
          <w:lang w:val="en-US"/>
        </w:rPr>
        <w:t>.</w:t>
      </w:r>
    </w:p>
    <w:p w14:paraId="497204EC" w14:textId="27F373D6" w:rsidR="00593F96" w:rsidRDefault="00593F96" w:rsidP="00B10BE9">
      <w:pPr>
        <w:jc w:val="both"/>
        <w:rPr>
          <w:sz w:val="22"/>
          <w:szCs w:val="22"/>
          <w:lang w:val="en-US"/>
        </w:rPr>
      </w:pPr>
      <w:r w:rsidRPr="003C0749">
        <w:rPr>
          <w:sz w:val="22"/>
          <w:szCs w:val="22"/>
          <w:lang w:val="en-US"/>
        </w:rPr>
        <w:t xml:space="preserve">Collaborative or coalition-based initiatives </w:t>
      </w:r>
      <w:r w:rsidR="00B8346F" w:rsidRPr="003C0749">
        <w:rPr>
          <w:sz w:val="22"/>
          <w:szCs w:val="22"/>
          <w:lang w:val="en-US"/>
        </w:rPr>
        <w:t>are</w:t>
      </w:r>
      <w:r w:rsidR="00B8346F">
        <w:rPr>
          <w:sz w:val="22"/>
          <w:szCs w:val="22"/>
          <w:lang w:val="en-US"/>
        </w:rPr>
        <w:t xml:space="preserve"> strongly encouraged, </w:t>
      </w:r>
      <w:r w:rsidR="008D7296" w:rsidRPr="008D7296">
        <w:rPr>
          <w:sz w:val="22"/>
          <w:szCs w:val="22"/>
          <w:lang w:val="en-US"/>
        </w:rPr>
        <w:t>as the complexity of safety of journalists and media freedom issues</w:t>
      </w:r>
      <w:r w:rsidR="008D7296">
        <w:rPr>
          <w:sz w:val="22"/>
          <w:szCs w:val="22"/>
          <w:lang w:val="en-US"/>
        </w:rPr>
        <w:t xml:space="preserve"> – particularly those related to environmental reporting –</w:t>
      </w:r>
      <w:r w:rsidR="008D7296" w:rsidRPr="008D7296">
        <w:rPr>
          <w:sz w:val="22"/>
          <w:szCs w:val="22"/>
          <w:lang w:val="en-US"/>
        </w:rPr>
        <w:t xml:space="preserve"> calls for the concerted action of stakeholders.</w:t>
      </w:r>
      <w:r w:rsidR="00B829D6">
        <w:rPr>
          <w:sz w:val="22"/>
          <w:szCs w:val="22"/>
          <w:lang w:val="en-US"/>
        </w:rPr>
        <w:t xml:space="preserve"> </w:t>
      </w:r>
      <w:r w:rsidR="00B829D6" w:rsidRPr="00B829D6">
        <w:rPr>
          <w:sz w:val="22"/>
          <w:szCs w:val="22"/>
          <w:lang w:val="en-US"/>
        </w:rPr>
        <w:t xml:space="preserve">However, please note that partnership proposals can only be submitted by one entity (the lead applicant), which shall also stand as UNESCO’s counterpart under the corresponding </w:t>
      </w:r>
      <w:r w:rsidR="00E702F2">
        <w:rPr>
          <w:sz w:val="22"/>
          <w:szCs w:val="22"/>
          <w:lang w:val="en-US"/>
        </w:rPr>
        <w:t>partnership agreement (“</w:t>
      </w:r>
      <w:r w:rsidR="0065794C">
        <w:rPr>
          <w:sz w:val="22"/>
          <w:szCs w:val="22"/>
          <w:lang w:val="en-US"/>
        </w:rPr>
        <w:t>Implementation Partners’ Agreement</w:t>
      </w:r>
      <w:r w:rsidR="00E702F2">
        <w:rPr>
          <w:sz w:val="22"/>
          <w:szCs w:val="22"/>
          <w:lang w:val="en-US"/>
        </w:rPr>
        <w:t>”)</w:t>
      </w:r>
      <w:r w:rsidR="00B829D6">
        <w:rPr>
          <w:sz w:val="22"/>
          <w:szCs w:val="22"/>
          <w:lang w:val="en-US"/>
        </w:rPr>
        <w:t xml:space="preserve">. </w:t>
      </w:r>
    </w:p>
    <w:p w14:paraId="142047B6" w14:textId="15289AE2" w:rsidR="00B10BE9" w:rsidRPr="00B10BE9" w:rsidRDefault="00B10BE9" w:rsidP="00B10BE9">
      <w:pPr>
        <w:jc w:val="both"/>
        <w:rPr>
          <w:sz w:val="22"/>
          <w:szCs w:val="22"/>
          <w:lang w:val="en-US"/>
        </w:rPr>
      </w:pPr>
      <w:r w:rsidRPr="00B10BE9">
        <w:rPr>
          <w:sz w:val="22"/>
          <w:szCs w:val="22"/>
          <w:lang w:val="en-US"/>
        </w:rPr>
        <w:t xml:space="preserve">Applicants who have already been awarded funding under a previous Call for Partnerships of the GMDF, UNESCO’s regular program or under other extra-budgetary modalities (such </w:t>
      </w:r>
      <w:r w:rsidR="00642C97">
        <w:rPr>
          <w:sz w:val="22"/>
          <w:szCs w:val="22"/>
          <w:lang w:val="en-US"/>
        </w:rPr>
        <w:t>as the</w:t>
      </w:r>
      <w:r w:rsidR="00507C5E">
        <w:rPr>
          <w:sz w:val="22"/>
          <w:szCs w:val="22"/>
          <w:lang w:val="en-US"/>
        </w:rPr>
        <w:t xml:space="preserve"> </w:t>
      </w:r>
      <w:hyperlink r:id="rId19" w:history="1">
        <w:r w:rsidR="00507C5E" w:rsidRPr="00356067">
          <w:rPr>
            <w:rStyle w:val="Hyperlink"/>
            <w:sz w:val="22"/>
            <w:szCs w:val="22"/>
            <w:lang w:val="en-US"/>
          </w:rPr>
          <w:t xml:space="preserve">International Programme for </w:t>
        </w:r>
        <w:r w:rsidR="008B7B8D">
          <w:rPr>
            <w:rStyle w:val="Hyperlink"/>
            <w:sz w:val="22"/>
            <w:szCs w:val="22"/>
            <w:lang w:val="en-US"/>
          </w:rPr>
          <w:t xml:space="preserve">the </w:t>
        </w:r>
        <w:r w:rsidR="00507C5E" w:rsidRPr="00356067">
          <w:rPr>
            <w:rStyle w:val="Hyperlink"/>
            <w:sz w:val="22"/>
            <w:szCs w:val="22"/>
            <w:lang w:val="en-US"/>
          </w:rPr>
          <w:t xml:space="preserve">Development </w:t>
        </w:r>
        <w:r w:rsidR="008B7B8D">
          <w:rPr>
            <w:rStyle w:val="Hyperlink"/>
            <w:sz w:val="22"/>
            <w:szCs w:val="22"/>
            <w:lang w:val="en-US"/>
          </w:rPr>
          <w:t>of</w:t>
        </w:r>
        <w:r w:rsidR="00507C5E" w:rsidRPr="00356067">
          <w:rPr>
            <w:rStyle w:val="Hyperlink"/>
            <w:sz w:val="22"/>
            <w:szCs w:val="22"/>
            <w:lang w:val="en-US"/>
          </w:rPr>
          <w:t xml:space="preserve"> Communication</w:t>
        </w:r>
      </w:hyperlink>
      <w:r w:rsidRPr="00B10BE9">
        <w:rPr>
          <w:sz w:val="22"/>
          <w:szCs w:val="22"/>
          <w:lang w:val="en-US"/>
        </w:rPr>
        <w:t xml:space="preserve"> or the </w:t>
      </w:r>
      <w:hyperlink r:id="rId20" w:history="1">
        <w:r w:rsidRPr="007047FD">
          <w:rPr>
            <w:rStyle w:val="Hyperlink"/>
            <w:sz w:val="22"/>
            <w:szCs w:val="22"/>
            <w:lang w:val="en-US"/>
          </w:rPr>
          <w:t>Multi-Donor Programme on Freedom of Expression and Safety of Journalists</w:t>
        </w:r>
      </w:hyperlink>
      <w:r w:rsidRPr="00B10BE9">
        <w:rPr>
          <w:sz w:val="22"/>
          <w:szCs w:val="22"/>
          <w:lang w:val="en-US"/>
        </w:rPr>
        <w:t xml:space="preserve">) </w:t>
      </w:r>
      <w:r w:rsidRPr="003C0749">
        <w:rPr>
          <w:sz w:val="22"/>
          <w:szCs w:val="22"/>
          <w:lang w:val="en-US"/>
        </w:rPr>
        <w:t xml:space="preserve">may also be eligible to apply </w:t>
      </w:r>
      <w:r w:rsidRPr="00B10BE9">
        <w:rPr>
          <w:sz w:val="22"/>
          <w:szCs w:val="22"/>
          <w:lang w:val="en-US"/>
        </w:rPr>
        <w:t>for a grant under the Global Media Defence Fund, if they meet the requirements listed above.</w:t>
      </w:r>
    </w:p>
    <w:p w14:paraId="356BD0E2" w14:textId="77777777" w:rsidR="00B10BE9" w:rsidRPr="00B10BE9" w:rsidRDefault="00B10BE9" w:rsidP="00B10BE9">
      <w:pPr>
        <w:jc w:val="both"/>
        <w:rPr>
          <w:sz w:val="22"/>
          <w:szCs w:val="22"/>
          <w:lang w:val="en-US"/>
        </w:rPr>
      </w:pPr>
      <w:r w:rsidRPr="00B10BE9">
        <w:rPr>
          <w:sz w:val="22"/>
          <w:szCs w:val="22"/>
          <w:lang w:val="en-US"/>
        </w:rPr>
        <w:t xml:space="preserve">An applicant </w:t>
      </w:r>
      <w:r w:rsidRPr="003C0749">
        <w:rPr>
          <w:sz w:val="22"/>
          <w:szCs w:val="22"/>
          <w:lang w:val="en-US"/>
        </w:rPr>
        <w:t>cannot submit more than one</w:t>
      </w:r>
      <w:r w:rsidRPr="00B10BE9">
        <w:rPr>
          <w:sz w:val="22"/>
          <w:szCs w:val="22"/>
          <w:lang w:val="en-US"/>
        </w:rPr>
        <w:t xml:space="preserve"> partnership proposal under this Call for Partnerships, and thus cannot be awarded more than one grant.</w:t>
      </w:r>
    </w:p>
    <w:p w14:paraId="65658397" w14:textId="01EBD418" w:rsidR="00E95AFA" w:rsidRPr="00A81733" w:rsidRDefault="00E95AFA" w:rsidP="00E95AFA">
      <w:pPr>
        <w:jc w:val="both"/>
        <w:rPr>
          <w:b/>
          <w:bCs/>
          <w:sz w:val="22"/>
          <w:szCs w:val="22"/>
          <w:lang w:val="en-US"/>
        </w:rPr>
      </w:pPr>
      <w:r w:rsidRPr="00A81733">
        <w:rPr>
          <w:b/>
          <w:bCs/>
          <w:sz w:val="22"/>
          <w:szCs w:val="22"/>
          <w:highlight w:val="lightGray"/>
          <w:lang w:val="en-US"/>
        </w:rPr>
        <w:t>3.</w:t>
      </w:r>
      <w:r>
        <w:rPr>
          <w:b/>
          <w:bCs/>
          <w:sz w:val="22"/>
          <w:szCs w:val="22"/>
          <w:highlight w:val="lightGray"/>
          <w:lang w:val="en-US"/>
        </w:rPr>
        <w:t>2.2. ELIGIBLE PARTNERSHIP PROPOSALS</w:t>
      </w:r>
    </w:p>
    <w:p w14:paraId="02761A64" w14:textId="7D865444" w:rsidR="00E95AFA" w:rsidRPr="00DD0D1C" w:rsidRDefault="00CA6D57" w:rsidP="00E95AFA">
      <w:pPr>
        <w:jc w:val="both"/>
        <w:rPr>
          <w:b/>
          <w:bCs/>
          <w:sz w:val="22"/>
          <w:szCs w:val="22"/>
          <w:u w:val="single"/>
          <w:lang w:val="en-US"/>
        </w:rPr>
      </w:pPr>
      <w:r>
        <w:rPr>
          <w:b/>
          <w:bCs/>
          <w:sz w:val="22"/>
          <w:szCs w:val="22"/>
          <w:u w:val="single"/>
          <w:lang w:val="en-US"/>
        </w:rPr>
        <w:t>BASIC REQUIREMENTS</w:t>
      </w:r>
    </w:p>
    <w:p w14:paraId="60B3F8B8" w14:textId="0AB0BF22" w:rsidR="00F072FD" w:rsidRDefault="00E272B7" w:rsidP="00B30063">
      <w:pPr>
        <w:jc w:val="both"/>
        <w:rPr>
          <w:sz w:val="22"/>
          <w:szCs w:val="22"/>
          <w:lang w:val="en-US"/>
        </w:rPr>
      </w:pPr>
      <w:r>
        <w:rPr>
          <w:b/>
          <w:bCs/>
          <w:sz w:val="22"/>
          <w:szCs w:val="22"/>
          <w:lang w:val="en-US"/>
        </w:rPr>
        <w:t xml:space="preserve">1. </w:t>
      </w:r>
      <w:r w:rsidR="003B550D" w:rsidRPr="00CA6D57">
        <w:rPr>
          <w:b/>
          <w:bCs/>
          <w:sz w:val="22"/>
          <w:szCs w:val="22"/>
          <w:u w:val="single"/>
          <w:lang w:val="en-US"/>
        </w:rPr>
        <w:t>Technical Proposal</w:t>
      </w:r>
      <w:r w:rsidR="00973602">
        <w:rPr>
          <w:b/>
          <w:bCs/>
          <w:sz w:val="22"/>
          <w:szCs w:val="22"/>
          <w:u w:val="single"/>
          <w:lang w:val="en-US"/>
        </w:rPr>
        <w:t xml:space="preserve"> (Application Form</w:t>
      </w:r>
      <w:r w:rsidR="00BD7FDD">
        <w:rPr>
          <w:b/>
          <w:bCs/>
          <w:sz w:val="22"/>
          <w:szCs w:val="22"/>
          <w:u w:val="single"/>
          <w:lang w:val="en-US"/>
        </w:rPr>
        <w:t>)</w:t>
      </w:r>
      <w:r w:rsidR="003B550D">
        <w:rPr>
          <w:b/>
          <w:bCs/>
          <w:sz w:val="22"/>
          <w:szCs w:val="22"/>
          <w:lang w:val="en-US"/>
        </w:rPr>
        <w:t>:</w:t>
      </w:r>
      <w:r w:rsidR="00B30063">
        <w:rPr>
          <w:b/>
          <w:bCs/>
          <w:sz w:val="22"/>
          <w:szCs w:val="22"/>
          <w:lang w:val="en-US"/>
        </w:rPr>
        <w:t xml:space="preserve"> </w:t>
      </w:r>
      <w:r w:rsidR="004B15C9">
        <w:rPr>
          <w:sz w:val="22"/>
          <w:szCs w:val="22"/>
          <w:lang w:val="en-US"/>
        </w:rPr>
        <w:t>In order for a partnership proposal to be eligible, candidate organizations</w:t>
      </w:r>
      <w:r w:rsidR="00B30063" w:rsidRPr="00B30063">
        <w:rPr>
          <w:sz w:val="22"/>
          <w:szCs w:val="22"/>
          <w:lang w:val="en-US"/>
        </w:rPr>
        <w:t xml:space="preserve"> must have completed every section of the Application Form (Annex </w:t>
      </w:r>
      <w:r w:rsidR="00D52F16">
        <w:rPr>
          <w:sz w:val="22"/>
          <w:szCs w:val="22"/>
          <w:lang w:val="en-US"/>
        </w:rPr>
        <w:t>3</w:t>
      </w:r>
      <w:r w:rsidR="00B30063" w:rsidRPr="00B30063">
        <w:rPr>
          <w:sz w:val="22"/>
          <w:szCs w:val="22"/>
          <w:lang w:val="en-US"/>
        </w:rPr>
        <w:t>) in full</w:t>
      </w:r>
      <w:r w:rsidR="00CA6D57">
        <w:rPr>
          <w:sz w:val="22"/>
          <w:szCs w:val="22"/>
          <w:lang w:val="en-US"/>
        </w:rPr>
        <w:t>.</w:t>
      </w:r>
    </w:p>
    <w:p w14:paraId="50592E35" w14:textId="2EAD1261" w:rsidR="00CA6D57" w:rsidRPr="00B30063" w:rsidRDefault="00CA6D57" w:rsidP="00B30063">
      <w:pPr>
        <w:jc w:val="both"/>
        <w:rPr>
          <w:b/>
          <w:bCs/>
          <w:sz w:val="22"/>
          <w:szCs w:val="22"/>
          <w:lang w:val="en-US"/>
        </w:rPr>
      </w:pPr>
      <w:r>
        <w:rPr>
          <w:sz w:val="22"/>
          <w:szCs w:val="22"/>
          <w:lang w:val="en-US"/>
        </w:rPr>
        <w:t xml:space="preserve">Partnership proposals must comply with the following </w:t>
      </w:r>
      <w:r w:rsidR="002B0A13">
        <w:rPr>
          <w:sz w:val="22"/>
          <w:szCs w:val="22"/>
          <w:lang w:val="en-US"/>
        </w:rPr>
        <w:t>criteria:</w:t>
      </w:r>
    </w:p>
    <w:p w14:paraId="4482F795" w14:textId="34E04E74" w:rsidR="00E86722" w:rsidRDefault="003F0F6D" w:rsidP="00F072FD">
      <w:pPr>
        <w:pStyle w:val="ListParagraph"/>
        <w:numPr>
          <w:ilvl w:val="0"/>
          <w:numId w:val="14"/>
        </w:numPr>
        <w:jc w:val="both"/>
        <w:rPr>
          <w:sz w:val="22"/>
          <w:szCs w:val="22"/>
          <w:lang w:val="en-US"/>
        </w:rPr>
      </w:pPr>
      <w:r w:rsidRPr="00154782">
        <w:rPr>
          <w:i/>
          <w:iCs/>
          <w:sz w:val="22"/>
          <w:szCs w:val="22"/>
          <w:lang w:val="en-US"/>
        </w:rPr>
        <w:t>Alignment with GMDF Outputs</w:t>
      </w:r>
      <w:r w:rsidR="00684B4C">
        <w:rPr>
          <w:i/>
          <w:iCs/>
          <w:sz w:val="22"/>
          <w:szCs w:val="22"/>
          <w:lang w:val="en-US"/>
        </w:rPr>
        <w:t>:</w:t>
      </w:r>
      <w:r w:rsidRPr="00F072FD">
        <w:rPr>
          <w:b/>
          <w:bCs/>
          <w:sz w:val="22"/>
          <w:szCs w:val="22"/>
          <w:lang w:val="en-US"/>
        </w:rPr>
        <w:t xml:space="preserve"> </w:t>
      </w:r>
      <w:r w:rsidRPr="00F072FD">
        <w:rPr>
          <w:sz w:val="22"/>
          <w:szCs w:val="22"/>
          <w:lang w:val="en-US"/>
        </w:rPr>
        <w:t xml:space="preserve">The objectives of the proposed action must contribute to advancing at least </w:t>
      </w:r>
      <w:r w:rsidR="002B0A13">
        <w:rPr>
          <w:sz w:val="22"/>
          <w:szCs w:val="22"/>
          <w:lang w:val="en-US"/>
        </w:rPr>
        <w:t>one of the GMDF Outputs covered by this Cal</w:t>
      </w:r>
      <w:r w:rsidR="002F2F8B">
        <w:rPr>
          <w:sz w:val="22"/>
          <w:szCs w:val="22"/>
          <w:lang w:val="en-US"/>
        </w:rPr>
        <w:t>l</w:t>
      </w:r>
      <w:r w:rsidR="00507710">
        <w:rPr>
          <w:sz w:val="22"/>
          <w:szCs w:val="22"/>
          <w:lang w:val="en-US"/>
        </w:rPr>
        <w:t>.</w:t>
      </w:r>
    </w:p>
    <w:p w14:paraId="6C431A59" w14:textId="77777777" w:rsidR="002F2F8B" w:rsidRDefault="002F2F8B" w:rsidP="002F2F8B">
      <w:pPr>
        <w:pStyle w:val="ListParagraph"/>
        <w:jc w:val="both"/>
        <w:rPr>
          <w:sz w:val="22"/>
          <w:szCs w:val="22"/>
          <w:lang w:val="en-US"/>
        </w:rPr>
      </w:pPr>
    </w:p>
    <w:p w14:paraId="55F3D029" w14:textId="40476282" w:rsidR="002F2F8B" w:rsidRDefault="002F2F8B" w:rsidP="00F072FD">
      <w:pPr>
        <w:pStyle w:val="ListParagraph"/>
        <w:numPr>
          <w:ilvl w:val="0"/>
          <w:numId w:val="14"/>
        </w:numPr>
        <w:jc w:val="both"/>
        <w:rPr>
          <w:sz w:val="22"/>
          <w:szCs w:val="22"/>
          <w:lang w:val="en-US"/>
        </w:rPr>
      </w:pPr>
      <w:r w:rsidRPr="005F632C">
        <w:rPr>
          <w:i/>
          <w:iCs/>
          <w:sz w:val="22"/>
          <w:szCs w:val="22"/>
          <w:lang w:val="en-US"/>
        </w:rPr>
        <w:t>Thematic Focus</w:t>
      </w:r>
      <w:r w:rsidR="00684B4C">
        <w:rPr>
          <w:i/>
          <w:iCs/>
          <w:sz w:val="22"/>
          <w:szCs w:val="22"/>
          <w:lang w:val="en-US"/>
        </w:rPr>
        <w:t>:</w:t>
      </w:r>
      <w:r>
        <w:rPr>
          <w:b/>
          <w:bCs/>
          <w:sz w:val="22"/>
          <w:szCs w:val="22"/>
          <w:lang w:val="en-US"/>
        </w:rPr>
        <w:t xml:space="preserve"> </w:t>
      </w:r>
      <w:r>
        <w:rPr>
          <w:sz w:val="22"/>
          <w:szCs w:val="22"/>
          <w:lang w:val="en-US"/>
        </w:rPr>
        <w:t xml:space="preserve">The partnership proposal should be aligned with </w:t>
      </w:r>
      <w:r w:rsidR="00D9240B">
        <w:rPr>
          <w:sz w:val="22"/>
          <w:szCs w:val="22"/>
          <w:lang w:val="en-US"/>
        </w:rPr>
        <w:t xml:space="preserve">the thematic focus of this Call for Partnerships (bolstering the legal protection </w:t>
      </w:r>
      <w:r w:rsidR="00507710">
        <w:rPr>
          <w:sz w:val="22"/>
          <w:szCs w:val="22"/>
          <w:lang w:val="en-US"/>
        </w:rPr>
        <w:t xml:space="preserve">of environmental journalists </w:t>
      </w:r>
      <w:r w:rsidR="00DD265C" w:rsidRPr="00DD265C">
        <w:rPr>
          <w:sz w:val="22"/>
          <w:szCs w:val="22"/>
          <w:lang w:val="en-US"/>
        </w:rPr>
        <w:t>and/or reducing impunity related to cases of violence, threats and attacks against them</w:t>
      </w:r>
      <w:r w:rsidR="00DD265C">
        <w:rPr>
          <w:sz w:val="22"/>
          <w:szCs w:val="22"/>
          <w:lang w:val="en-US"/>
        </w:rPr>
        <w:t>).</w:t>
      </w:r>
    </w:p>
    <w:p w14:paraId="7FEFCFCB" w14:textId="77777777" w:rsidR="00276C4D" w:rsidRPr="00276C4D" w:rsidRDefault="00276C4D" w:rsidP="00276C4D">
      <w:pPr>
        <w:pStyle w:val="ListParagraph"/>
        <w:rPr>
          <w:sz w:val="22"/>
          <w:szCs w:val="22"/>
          <w:lang w:val="en-US"/>
        </w:rPr>
      </w:pPr>
    </w:p>
    <w:p w14:paraId="44C63CCA" w14:textId="5F897D7A" w:rsidR="003B6360" w:rsidRDefault="007A2340" w:rsidP="003B6360">
      <w:pPr>
        <w:pStyle w:val="ListParagraph"/>
        <w:numPr>
          <w:ilvl w:val="0"/>
          <w:numId w:val="14"/>
        </w:numPr>
        <w:jc w:val="both"/>
        <w:rPr>
          <w:sz w:val="22"/>
          <w:szCs w:val="22"/>
          <w:lang w:val="en-US"/>
        </w:rPr>
      </w:pPr>
      <w:r w:rsidRPr="001D6098">
        <w:rPr>
          <w:i/>
          <w:iCs/>
          <w:sz w:val="22"/>
          <w:szCs w:val="22"/>
          <w:lang w:val="en-US"/>
        </w:rPr>
        <w:t xml:space="preserve">S.M.A.R.T. and </w:t>
      </w:r>
      <w:r w:rsidR="00E65E3C" w:rsidRPr="001D6098">
        <w:rPr>
          <w:i/>
          <w:iCs/>
          <w:sz w:val="22"/>
          <w:szCs w:val="22"/>
          <w:lang w:val="en-US"/>
        </w:rPr>
        <w:t>Feasible Project Objectives:</w:t>
      </w:r>
      <w:r w:rsidRPr="001D6098">
        <w:rPr>
          <w:i/>
          <w:iCs/>
          <w:sz w:val="22"/>
          <w:szCs w:val="22"/>
          <w:lang w:val="en-US"/>
        </w:rPr>
        <w:t xml:space="preserve"> </w:t>
      </w:r>
      <w:r w:rsidR="001D6098" w:rsidRPr="001D6098">
        <w:rPr>
          <w:sz w:val="22"/>
          <w:szCs w:val="22"/>
          <w:lang w:val="en-US"/>
        </w:rPr>
        <w:t>The objective(s) of the action must be S.M.A.R.T., as well as operationally, technica</w:t>
      </w:r>
      <w:r w:rsidR="006F08BD">
        <w:rPr>
          <w:sz w:val="22"/>
          <w:szCs w:val="22"/>
          <w:lang w:val="en-US"/>
        </w:rPr>
        <w:t>l</w:t>
      </w:r>
      <w:r w:rsidR="001D6098" w:rsidRPr="001D6098">
        <w:rPr>
          <w:sz w:val="22"/>
          <w:szCs w:val="22"/>
          <w:lang w:val="en-US"/>
        </w:rPr>
        <w:t>l</w:t>
      </w:r>
      <w:r w:rsidR="006F08BD">
        <w:rPr>
          <w:sz w:val="22"/>
          <w:szCs w:val="22"/>
          <w:lang w:val="en-US"/>
        </w:rPr>
        <w:t>y</w:t>
      </w:r>
      <w:r w:rsidR="001D6098" w:rsidRPr="001D6098">
        <w:rPr>
          <w:sz w:val="22"/>
          <w:szCs w:val="22"/>
          <w:lang w:val="en-US"/>
        </w:rPr>
        <w:t>, and financially feasible</w:t>
      </w:r>
      <w:r w:rsidR="003B6360">
        <w:rPr>
          <w:rStyle w:val="FootnoteReference"/>
          <w:sz w:val="22"/>
          <w:szCs w:val="22"/>
          <w:lang w:val="en-US"/>
        </w:rPr>
        <w:footnoteReference w:id="1"/>
      </w:r>
      <w:r w:rsidR="001D6098" w:rsidRPr="001D6098">
        <w:rPr>
          <w:sz w:val="22"/>
          <w:szCs w:val="22"/>
          <w:lang w:val="en-US"/>
        </w:rPr>
        <w:t xml:space="preserve">. </w:t>
      </w:r>
      <w:r w:rsidR="002816E9">
        <w:rPr>
          <w:sz w:val="22"/>
          <w:szCs w:val="22"/>
          <w:lang w:val="en-US"/>
        </w:rPr>
        <w:t>The proposed implementation modalities must effectively and efficiently contribute to the achievement of the objective(s) of the action.</w:t>
      </w:r>
    </w:p>
    <w:p w14:paraId="274D5FB0" w14:textId="77777777" w:rsidR="003B6360" w:rsidRPr="003B6360" w:rsidRDefault="003B6360" w:rsidP="003B6360">
      <w:pPr>
        <w:pStyle w:val="ListParagraph"/>
        <w:jc w:val="both"/>
        <w:rPr>
          <w:sz w:val="22"/>
          <w:szCs w:val="22"/>
          <w:lang w:val="en-US"/>
        </w:rPr>
      </w:pPr>
    </w:p>
    <w:p w14:paraId="753DF8BF" w14:textId="77777777" w:rsidR="00085EA2" w:rsidRDefault="00112C6C" w:rsidP="00625693">
      <w:pPr>
        <w:pStyle w:val="ListParagraph"/>
        <w:numPr>
          <w:ilvl w:val="0"/>
          <w:numId w:val="17"/>
        </w:numPr>
        <w:jc w:val="both"/>
        <w:rPr>
          <w:sz w:val="22"/>
          <w:szCs w:val="22"/>
          <w:lang w:val="en-US"/>
        </w:rPr>
      </w:pPr>
      <w:r>
        <w:rPr>
          <w:i/>
          <w:iCs/>
          <w:sz w:val="22"/>
          <w:szCs w:val="22"/>
          <w:lang w:val="en-US"/>
        </w:rPr>
        <w:t xml:space="preserve">Human Rights-Based Approach: </w:t>
      </w:r>
      <w:r w:rsidR="00D141F1" w:rsidRPr="00D141F1">
        <w:rPr>
          <w:sz w:val="22"/>
          <w:szCs w:val="22"/>
          <w:lang w:val="en-US"/>
        </w:rPr>
        <w:t>The proposed actions must be developed and implemented on the basis of a human rights-based approach</w:t>
      </w:r>
      <w:r w:rsidR="00975901">
        <w:rPr>
          <w:sz w:val="22"/>
          <w:szCs w:val="22"/>
          <w:lang w:val="en-US"/>
        </w:rPr>
        <w:t>, which means that</w:t>
      </w:r>
      <w:r w:rsidR="00D141F1" w:rsidRPr="00D141F1">
        <w:rPr>
          <w:sz w:val="22"/>
          <w:szCs w:val="22"/>
          <w:lang w:val="en-US"/>
        </w:rPr>
        <w:t xml:space="preserve"> they must be based on international human rights standards</w:t>
      </w:r>
      <w:r w:rsidR="00975901">
        <w:rPr>
          <w:sz w:val="22"/>
          <w:szCs w:val="22"/>
          <w:lang w:val="en-US"/>
        </w:rPr>
        <w:t>,</w:t>
      </w:r>
      <w:r w:rsidR="00D141F1" w:rsidRPr="00D141F1">
        <w:rPr>
          <w:sz w:val="22"/>
          <w:szCs w:val="22"/>
          <w:lang w:val="en-US"/>
        </w:rPr>
        <w:t xml:space="preserve"> </w:t>
      </w:r>
      <w:r w:rsidR="00FF7DE5">
        <w:rPr>
          <w:sz w:val="22"/>
          <w:szCs w:val="22"/>
          <w:lang w:val="en-US"/>
        </w:rPr>
        <w:t xml:space="preserve">must be </w:t>
      </w:r>
      <w:r w:rsidR="00D141F1" w:rsidRPr="00D141F1">
        <w:rPr>
          <w:sz w:val="22"/>
          <w:szCs w:val="22"/>
          <w:lang w:val="en-US"/>
        </w:rPr>
        <w:t>directed to promoting and protecting human rights, and must ensure t</w:t>
      </w:r>
      <w:r w:rsidR="00FF7DE5">
        <w:rPr>
          <w:sz w:val="22"/>
          <w:szCs w:val="22"/>
          <w:lang w:val="en-US"/>
        </w:rPr>
        <w:t xml:space="preserve">he involvement of </w:t>
      </w:r>
      <w:r w:rsidR="00D141F1" w:rsidRPr="00D141F1">
        <w:rPr>
          <w:sz w:val="22"/>
          <w:szCs w:val="22"/>
          <w:lang w:val="en-US"/>
        </w:rPr>
        <w:t xml:space="preserve">those who are most marginalized, excluded or discriminated against. </w:t>
      </w:r>
    </w:p>
    <w:p w14:paraId="78D6190D" w14:textId="77777777" w:rsidR="00085EA2" w:rsidRDefault="00085EA2" w:rsidP="00085EA2">
      <w:pPr>
        <w:pStyle w:val="ListParagraph"/>
        <w:jc w:val="both"/>
        <w:rPr>
          <w:i/>
          <w:iCs/>
          <w:sz w:val="22"/>
          <w:szCs w:val="22"/>
          <w:lang w:val="en-US"/>
        </w:rPr>
      </w:pPr>
    </w:p>
    <w:p w14:paraId="0214B823" w14:textId="1B3ED4F7" w:rsidR="00625693" w:rsidRDefault="00D141F1" w:rsidP="00085EA2">
      <w:pPr>
        <w:pStyle w:val="ListParagraph"/>
        <w:jc w:val="both"/>
        <w:rPr>
          <w:sz w:val="22"/>
          <w:szCs w:val="22"/>
          <w:lang w:val="en-US"/>
        </w:rPr>
      </w:pPr>
      <w:r w:rsidRPr="00D141F1">
        <w:rPr>
          <w:sz w:val="22"/>
          <w:szCs w:val="22"/>
          <w:lang w:val="en-US"/>
        </w:rPr>
        <w:lastRenderedPageBreak/>
        <w:t xml:space="preserve">All </w:t>
      </w:r>
      <w:r w:rsidR="00405A57">
        <w:rPr>
          <w:sz w:val="22"/>
          <w:szCs w:val="22"/>
          <w:lang w:val="en-US"/>
        </w:rPr>
        <w:t xml:space="preserve">projects </w:t>
      </w:r>
      <w:r w:rsidRPr="00D141F1">
        <w:rPr>
          <w:sz w:val="22"/>
          <w:szCs w:val="22"/>
          <w:lang w:val="en-US"/>
        </w:rPr>
        <w:t>receiving partial or total funding from the GMDF will be expected to abide by international standards on freedom of expression and safety of journalists (as set by the UDHR and ICCPR, as well as relevant resolutions by the UN and regional human rights bodies), and must be in line with the UN Plan of Action on Safety of Journalists and the Issue of Impunity.</w:t>
      </w:r>
    </w:p>
    <w:p w14:paraId="797FFD4C" w14:textId="77777777" w:rsidR="00684B4C" w:rsidRDefault="00684B4C" w:rsidP="00085EA2">
      <w:pPr>
        <w:pStyle w:val="ListParagraph"/>
        <w:jc w:val="both"/>
        <w:rPr>
          <w:sz w:val="22"/>
          <w:szCs w:val="22"/>
          <w:lang w:val="en-US"/>
        </w:rPr>
      </w:pPr>
    </w:p>
    <w:p w14:paraId="2D6D092F" w14:textId="2A18B919" w:rsidR="00B07464" w:rsidRDefault="00684B4C" w:rsidP="008856D9">
      <w:pPr>
        <w:pStyle w:val="ListParagraph"/>
        <w:numPr>
          <w:ilvl w:val="0"/>
          <w:numId w:val="17"/>
        </w:numPr>
        <w:jc w:val="both"/>
        <w:rPr>
          <w:sz w:val="22"/>
          <w:szCs w:val="22"/>
          <w:lang w:val="en-US"/>
        </w:rPr>
      </w:pPr>
      <w:r w:rsidRPr="00BB3B41">
        <w:rPr>
          <w:i/>
          <w:iCs/>
          <w:sz w:val="22"/>
          <w:szCs w:val="22"/>
          <w:lang w:val="en-US"/>
        </w:rPr>
        <w:t>Gender Equality:</w:t>
      </w:r>
      <w:r w:rsidR="00CE1DE8" w:rsidRPr="00BB3B41">
        <w:rPr>
          <w:i/>
          <w:iCs/>
          <w:sz w:val="22"/>
          <w:szCs w:val="22"/>
          <w:lang w:val="en-US"/>
        </w:rPr>
        <w:t xml:space="preserve"> </w:t>
      </w:r>
      <w:r w:rsidR="00092863">
        <w:rPr>
          <w:sz w:val="22"/>
          <w:szCs w:val="22"/>
          <w:lang w:val="en-US"/>
        </w:rPr>
        <w:t xml:space="preserve">All </w:t>
      </w:r>
      <w:r w:rsidR="00CB605A" w:rsidRPr="00BB3B41">
        <w:rPr>
          <w:sz w:val="22"/>
          <w:szCs w:val="22"/>
          <w:lang w:val="en-US"/>
        </w:rPr>
        <w:t>partnership proposals seeking funding from the GMDF must mainstream gender</w:t>
      </w:r>
      <w:r w:rsidR="00044DCB" w:rsidRPr="00BB3B41">
        <w:rPr>
          <w:sz w:val="22"/>
          <w:szCs w:val="22"/>
          <w:lang w:val="en-US"/>
        </w:rPr>
        <w:t xml:space="preserve"> </w:t>
      </w:r>
      <w:r w:rsidR="00CB605A" w:rsidRPr="00BB3B41">
        <w:rPr>
          <w:sz w:val="22"/>
          <w:szCs w:val="22"/>
          <w:lang w:val="en-US"/>
        </w:rPr>
        <w:t>throughout the development and implementation of the action they propose</w:t>
      </w:r>
      <w:r w:rsidR="00571604">
        <w:rPr>
          <w:sz w:val="22"/>
          <w:szCs w:val="22"/>
          <w:lang w:val="en-US"/>
        </w:rPr>
        <w:t>.</w:t>
      </w:r>
    </w:p>
    <w:p w14:paraId="657BBBD7" w14:textId="3FAAF878" w:rsidR="002461DA" w:rsidRDefault="009B68F1" w:rsidP="00E712EB">
      <w:pPr>
        <w:ind w:left="708"/>
        <w:jc w:val="both"/>
        <w:rPr>
          <w:sz w:val="22"/>
          <w:szCs w:val="22"/>
          <w:lang w:val="en-US"/>
        </w:rPr>
      </w:pPr>
      <w:r>
        <w:rPr>
          <w:sz w:val="22"/>
          <w:szCs w:val="22"/>
          <w:lang w:val="en-US"/>
        </w:rPr>
        <w:t xml:space="preserve">Ensuring the equal participation of people of women, men and </w:t>
      </w:r>
      <w:r w:rsidR="009578C0">
        <w:rPr>
          <w:sz w:val="22"/>
          <w:szCs w:val="22"/>
          <w:lang w:val="en-US"/>
        </w:rPr>
        <w:t>people of other gender identities</w:t>
      </w:r>
      <w:r>
        <w:rPr>
          <w:sz w:val="22"/>
          <w:szCs w:val="22"/>
          <w:lang w:val="en-US"/>
        </w:rPr>
        <w:t xml:space="preserve"> in decision-making and as project beneficiaries </w:t>
      </w:r>
      <w:r w:rsidR="001728C3">
        <w:rPr>
          <w:sz w:val="22"/>
          <w:szCs w:val="22"/>
          <w:lang w:val="en-US"/>
        </w:rPr>
        <w:t xml:space="preserve">is a first step, but that </w:t>
      </w:r>
      <w:r w:rsidR="00DE2E80">
        <w:rPr>
          <w:sz w:val="22"/>
          <w:szCs w:val="22"/>
          <w:lang w:val="en-US"/>
        </w:rPr>
        <w:t xml:space="preserve">does </w:t>
      </w:r>
      <w:r w:rsidR="00DE2E80" w:rsidRPr="003566F9">
        <w:rPr>
          <w:sz w:val="22"/>
          <w:szCs w:val="22"/>
          <w:u w:val="single"/>
          <w:lang w:val="en-US"/>
        </w:rPr>
        <w:t>not</w:t>
      </w:r>
      <w:r w:rsidR="00DE2E80">
        <w:rPr>
          <w:sz w:val="22"/>
          <w:szCs w:val="22"/>
          <w:lang w:val="en-US"/>
        </w:rPr>
        <w:t xml:space="preserve"> satisfy the gender mainstreaming requirement. </w:t>
      </w:r>
      <w:r w:rsidR="00B76509">
        <w:rPr>
          <w:sz w:val="22"/>
          <w:szCs w:val="22"/>
          <w:lang w:val="en-US"/>
        </w:rPr>
        <w:t xml:space="preserve">In order </w:t>
      </w:r>
      <w:r w:rsidR="00571604">
        <w:rPr>
          <w:sz w:val="22"/>
          <w:szCs w:val="22"/>
          <w:lang w:val="en-US"/>
        </w:rPr>
        <w:t>to achieve this,</w:t>
      </w:r>
      <w:r w:rsidR="00B76509">
        <w:rPr>
          <w:sz w:val="22"/>
          <w:szCs w:val="22"/>
          <w:lang w:val="en-US"/>
        </w:rPr>
        <w:t xml:space="preserve"> </w:t>
      </w:r>
      <w:r w:rsidR="00571604" w:rsidRPr="00BB3B41">
        <w:rPr>
          <w:sz w:val="22"/>
          <w:szCs w:val="22"/>
          <w:lang w:val="en-US"/>
        </w:rPr>
        <w:t>a gender equality perspective in the identification of the issues, concerns, and needs of the beneficiaries, as well as in the definition of the ways to address them</w:t>
      </w:r>
      <w:r w:rsidR="00ED5480">
        <w:rPr>
          <w:sz w:val="22"/>
          <w:szCs w:val="22"/>
          <w:lang w:val="en-US"/>
        </w:rPr>
        <w:t>.</w:t>
      </w:r>
    </w:p>
    <w:p w14:paraId="165CC76A" w14:textId="77308B4A" w:rsidR="00F65DDF" w:rsidRDefault="00F65DDF" w:rsidP="00E712EB">
      <w:pPr>
        <w:ind w:left="708"/>
        <w:jc w:val="both"/>
        <w:rPr>
          <w:sz w:val="22"/>
          <w:szCs w:val="22"/>
          <w:lang w:val="en-US"/>
        </w:rPr>
      </w:pPr>
      <w:r>
        <w:rPr>
          <w:sz w:val="22"/>
          <w:szCs w:val="22"/>
          <w:lang w:val="en-US"/>
        </w:rPr>
        <w:t>All actions supported by the GMDF must:</w:t>
      </w:r>
    </w:p>
    <w:p w14:paraId="2874EA77" w14:textId="6CCD8933" w:rsidR="00F65DDF" w:rsidRDefault="00F65DDF" w:rsidP="00F65DDF">
      <w:pPr>
        <w:pStyle w:val="ListParagraph"/>
        <w:numPr>
          <w:ilvl w:val="1"/>
          <w:numId w:val="1"/>
        </w:numPr>
        <w:jc w:val="both"/>
        <w:rPr>
          <w:sz w:val="22"/>
          <w:szCs w:val="22"/>
          <w:lang w:val="en-US"/>
        </w:rPr>
      </w:pPr>
      <w:r>
        <w:rPr>
          <w:sz w:val="22"/>
          <w:szCs w:val="22"/>
          <w:lang w:val="en-US"/>
        </w:rPr>
        <w:t xml:space="preserve">Actively </w:t>
      </w:r>
      <w:r w:rsidR="000117C9" w:rsidRPr="000117C9">
        <w:rPr>
          <w:sz w:val="22"/>
          <w:szCs w:val="22"/>
          <w:lang w:val="en-US"/>
        </w:rPr>
        <w:t>attend to the specific risks faced by women journalists and media professionals</w:t>
      </w:r>
      <w:r w:rsidR="000117C9">
        <w:rPr>
          <w:sz w:val="22"/>
          <w:szCs w:val="22"/>
          <w:lang w:val="en-US"/>
        </w:rPr>
        <w:t xml:space="preserve"> of other gender identities</w:t>
      </w:r>
      <w:r w:rsidR="000117C9" w:rsidRPr="000117C9">
        <w:rPr>
          <w:sz w:val="22"/>
          <w:szCs w:val="22"/>
          <w:lang w:val="en-US"/>
        </w:rPr>
        <w:t xml:space="preserve"> in </w:t>
      </w:r>
      <w:r w:rsidR="007037FF">
        <w:rPr>
          <w:sz w:val="22"/>
          <w:szCs w:val="22"/>
          <w:lang w:val="en-US"/>
        </w:rPr>
        <w:t xml:space="preserve">the </w:t>
      </w:r>
      <w:r w:rsidR="000117C9" w:rsidRPr="000117C9">
        <w:rPr>
          <w:sz w:val="22"/>
          <w:szCs w:val="22"/>
          <w:lang w:val="en-US"/>
        </w:rPr>
        <w:t>conduct of their work –including sexual and gender-based discrimination and violence, intimidation, and harassment, both online and offline– when putting in place measures to address the safety of journalists</w:t>
      </w:r>
      <w:r w:rsidR="000117C9">
        <w:rPr>
          <w:sz w:val="22"/>
          <w:szCs w:val="22"/>
          <w:lang w:val="en-US"/>
        </w:rPr>
        <w:t>;</w:t>
      </w:r>
    </w:p>
    <w:p w14:paraId="27121525" w14:textId="15B1F0B2" w:rsidR="000117C9" w:rsidRDefault="00511353" w:rsidP="00F65DDF">
      <w:pPr>
        <w:pStyle w:val="ListParagraph"/>
        <w:numPr>
          <w:ilvl w:val="1"/>
          <w:numId w:val="1"/>
        </w:numPr>
        <w:jc w:val="both"/>
        <w:rPr>
          <w:sz w:val="22"/>
          <w:szCs w:val="22"/>
          <w:lang w:val="en-US"/>
        </w:rPr>
      </w:pPr>
      <w:r w:rsidRPr="00511353">
        <w:rPr>
          <w:sz w:val="22"/>
          <w:szCs w:val="22"/>
          <w:lang w:val="en-US"/>
        </w:rPr>
        <w:t>Seek gender equality and empowerment of women</w:t>
      </w:r>
      <w:r>
        <w:rPr>
          <w:sz w:val="22"/>
          <w:szCs w:val="22"/>
          <w:lang w:val="en-US"/>
        </w:rPr>
        <w:t xml:space="preserve"> and people of other gender identities</w:t>
      </w:r>
      <w:r w:rsidRPr="00511353">
        <w:rPr>
          <w:sz w:val="22"/>
          <w:szCs w:val="22"/>
          <w:lang w:val="en-US"/>
        </w:rPr>
        <w:t xml:space="preserve"> in the project team and in the implementation of the project activities</w:t>
      </w:r>
      <w:r>
        <w:rPr>
          <w:sz w:val="22"/>
          <w:szCs w:val="22"/>
          <w:lang w:val="en-US"/>
        </w:rPr>
        <w:t>;</w:t>
      </w:r>
    </w:p>
    <w:p w14:paraId="55C3F578" w14:textId="2A89C49A" w:rsidR="00653449" w:rsidRDefault="00606228" w:rsidP="00653449">
      <w:pPr>
        <w:pStyle w:val="ListParagraph"/>
        <w:numPr>
          <w:ilvl w:val="1"/>
          <w:numId w:val="1"/>
        </w:numPr>
        <w:jc w:val="both"/>
        <w:rPr>
          <w:sz w:val="22"/>
          <w:szCs w:val="22"/>
          <w:lang w:val="en-US"/>
        </w:rPr>
      </w:pPr>
      <w:r w:rsidRPr="00606228">
        <w:rPr>
          <w:sz w:val="22"/>
          <w:szCs w:val="22"/>
          <w:lang w:val="en-US"/>
        </w:rPr>
        <w:t>Where possible, gather, monitor and analyze data and information in a gender-disaggregated manner to highlight the specific risks faced by women journalists</w:t>
      </w:r>
      <w:r>
        <w:rPr>
          <w:sz w:val="22"/>
          <w:szCs w:val="22"/>
          <w:lang w:val="en-US"/>
        </w:rPr>
        <w:t xml:space="preserve"> and people of other gender identities</w:t>
      </w:r>
      <w:r w:rsidRPr="00606228">
        <w:rPr>
          <w:sz w:val="22"/>
          <w:szCs w:val="22"/>
          <w:lang w:val="en-US"/>
        </w:rPr>
        <w:t xml:space="preserve"> in the exercise of their work, as well as assess the different impact of the </w:t>
      </w:r>
      <w:r w:rsidR="00F732AB">
        <w:rPr>
          <w:sz w:val="22"/>
          <w:szCs w:val="22"/>
          <w:lang w:val="en-US"/>
        </w:rPr>
        <w:t>action</w:t>
      </w:r>
      <w:r w:rsidRPr="00606228">
        <w:rPr>
          <w:sz w:val="22"/>
          <w:szCs w:val="22"/>
          <w:lang w:val="en-US"/>
        </w:rPr>
        <w:t xml:space="preserve"> on women, men and other gender identities.</w:t>
      </w:r>
    </w:p>
    <w:p w14:paraId="219BAC58" w14:textId="77777777" w:rsidR="00653449" w:rsidRPr="00653449" w:rsidRDefault="00653449" w:rsidP="00C25C15">
      <w:pPr>
        <w:pStyle w:val="ListParagraph"/>
        <w:spacing w:after="0"/>
        <w:ind w:left="1440"/>
        <w:jc w:val="both"/>
        <w:rPr>
          <w:sz w:val="22"/>
          <w:szCs w:val="22"/>
          <w:lang w:val="en-US"/>
        </w:rPr>
      </w:pPr>
    </w:p>
    <w:p w14:paraId="5CC284C9" w14:textId="505AE9A0" w:rsidR="00B07464" w:rsidRPr="00AD692D" w:rsidRDefault="00B07464" w:rsidP="00F072FD">
      <w:pPr>
        <w:pStyle w:val="ListParagraph"/>
        <w:numPr>
          <w:ilvl w:val="0"/>
          <w:numId w:val="14"/>
        </w:numPr>
        <w:jc w:val="both"/>
        <w:rPr>
          <w:i/>
          <w:iCs/>
          <w:sz w:val="22"/>
          <w:szCs w:val="22"/>
          <w:lang w:val="en-US"/>
        </w:rPr>
      </w:pPr>
      <w:r w:rsidRPr="00276C4D">
        <w:rPr>
          <w:i/>
          <w:iCs/>
          <w:sz w:val="22"/>
          <w:szCs w:val="22"/>
          <w:lang w:val="en-US"/>
        </w:rPr>
        <w:t>Duration</w:t>
      </w:r>
      <w:r w:rsidR="007164B8" w:rsidRPr="00276C4D">
        <w:rPr>
          <w:i/>
          <w:iCs/>
          <w:sz w:val="22"/>
          <w:szCs w:val="22"/>
          <w:lang w:val="en-US"/>
        </w:rPr>
        <w:t xml:space="preserve"> of the Action</w:t>
      </w:r>
      <w:r w:rsidRPr="00276C4D">
        <w:rPr>
          <w:i/>
          <w:iCs/>
          <w:sz w:val="22"/>
          <w:szCs w:val="22"/>
          <w:lang w:val="en-US"/>
        </w:rPr>
        <w:t xml:space="preserve">: </w:t>
      </w:r>
      <w:r w:rsidR="0036750A">
        <w:rPr>
          <w:sz w:val="22"/>
          <w:szCs w:val="22"/>
          <w:lang w:val="en-US"/>
        </w:rPr>
        <w:t>The proposed action should cover a minimum of six months and a maximum of 18 months of implementation.</w:t>
      </w:r>
      <w:r w:rsidR="00A32776">
        <w:rPr>
          <w:sz w:val="22"/>
          <w:szCs w:val="22"/>
          <w:lang w:val="en-US"/>
        </w:rPr>
        <w:t xml:space="preserve"> Project duration corresponds to the period within which the project costs </w:t>
      </w:r>
      <w:r w:rsidR="00271CD5">
        <w:rPr>
          <w:sz w:val="22"/>
          <w:szCs w:val="22"/>
          <w:lang w:val="en-US"/>
        </w:rPr>
        <w:t>incur and project activities happen.</w:t>
      </w:r>
    </w:p>
    <w:p w14:paraId="185D39E6" w14:textId="77777777" w:rsidR="00AD692D" w:rsidRPr="00AD692D" w:rsidRDefault="00AD692D" w:rsidP="00AD692D">
      <w:pPr>
        <w:pStyle w:val="ListParagraph"/>
        <w:jc w:val="both"/>
        <w:rPr>
          <w:i/>
          <w:iCs/>
          <w:sz w:val="22"/>
          <w:szCs w:val="22"/>
          <w:lang w:val="en-US"/>
        </w:rPr>
      </w:pPr>
    </w:p>
    <w:p w14:paraId="7C1CCF89" w14:textId="5CE763B1" w:rsidR="00AD692D" w:rsidRPr="00DE7CC5" w:rsidRDefault="00AD692D" w:rsidP="00F072FD">
      <w:pPr>
        <w:pStyle w:val="ListParagraph"/>
        <w:numPr>
          <w:ilvl w:val="0"/>
          <w:numId w:val="14"/>
        </w:numPr>
        <w:jc w:val="both"/>
        <w:rPr>
          <w:i/>
          <w:iCs/>
          <w:sz w:val="22"/>
          <w:szCs w:val="22"/>
          <w:lang w:val="en-US"/>
        </w:rPr>
      </w:pPr>
      <w:r>
        <w:rPr>
          <w:i/>
          <w:iCs/>
          <w:sz w:val="22"/>
          <w:szCs w:val="22"/>
          <w:lang w:val="en-US"/>
        </w:rPr>
        <w:t>Sustainability of the Action:</w:t>
      </w:r>
      <w:r w:rsidR="00D600D7">
        <w:rPr>
          <w:i/>
          <w:iCs/>
          <w:sz w:val="22"/>
          <w:szCs w:val="22"/>
          <w:lang w:val="en-US"/>
        </w:rPr>
        <w:t xml:space="preserve"> </w:t>
      </w:r>
      <w:r w:rsidR="00D600D7">
        <w:rPr>
          <w:sz w:val="22"/>
          <w:szCs w:val="22"/>
          <w:lang w:val="en-US"/>
        </w:rPr>
        <w:t xml:space="preserve">Partnership proposals </w:t>
      </w:r>
      <w:r w:rsidR="00A8368B" w:rsidRPr="00A8368B">
        <w:rPr>
          <w:sz w:val="22"/>
          <w:szCs w:val="22"/>
          <w:lang w:val="en-US"/>
        </w:rPr>
        <w:t xml:space="preserve">should go beyond the level of activities and seek long-term, sustainable change. Concrete measures to ensure the sustainability of the action </w:t>
      </w:r>
      <w:r w:rsidR="00DF1D1F">
        <w:rPr>
          <w:sz w:val="22"/>
          <w:szCs w:val="22"/>
          <w:lang w:val="en-US"/>
        </w:rPr>
        <w:t xml:space="preserve">in the </w:t>
      </w:r>
      <w:r w:rsidR="005238E8">
        <w:rPr>
          <w:sz w:val="22"/>
          <w:szCs w:val="22"/>
          <w:lang w:val="en-US"/>
        </w:rPr>
        <w:t xml:space="preserve">long-term </w:t>
      </w:r>
      <w:r w:rsidR="00A8368B" w:rsidRPr="00A8368B">
        <w:rPr>
          <w:sz w:val="22"/>
          <w:szCs w:val="22"/>
          <w:lang w:val="en-US"/>
        </w:rPr>
        <w:t>must be proposed.</w:t>
      </w:r>
    </w:p>
    <w:p w14:paraId="453C819A" w14:textId="77777777" w:rsidR="00DE7CC5" w:rsidRPr="00DE7CC5" w:rsidRDefault="00DE7CC5" w:rsidP="00DE7CC5">
      <w:pPr>
        <w:pStyle w:val="ListParagraph"/>
        <w:rPr>
          <w:i/>
          <w:iCs/>
          <w:sz w:val="22"/>
          <w:szCs w:val="22"/>
          <w:lang w:val="en-US"/>
        </w:rPr>
      </w:pPr>
    </w:p>
    <w:p w14:paraId="76520FFE" w14:textId="2E5EE590" w:rsidR="00DE7CC5" w:rsidRPr="00F9299C" w:rsidRDefault="00DE7CC5" w:rsidP="00F072FD">
      <w:pPr>
        <w:pStyle w:val="ListParagraph"/>
        <w:numPr>
          <w:ilvl w:val="0"/>
          <w:numId w:val="14"/>
        </w:numPr>
        <w:jc w:val="both"/>
        <w:rPr>
          <w:i/>
          <w:iCs/>
          <w:sz w:val="22"/>
          <w:szCs w:val="22"/>
          <w:lang w:val="en-US"/>
        </w:rPr>
      </w:pPr>
      <w:r>
        <w:rPr>
          <w:i/>
          <w:iCs/>
          <w:sz w:val="22"/>
          <w:szCs w:val="22"/>
          <w:lang w:val="en-US"/>
        </w:rPr>
        <w:t xml:space="preserve">Environmental Sustainability: </w:t>
      </w:r>
      <w:r w:rsidR="00F9299C" w:rsidRPr="00F9299C">
        <w:rPr>
          <w:sz w:val="22"/>
          <w:szCs w:val="22"/>
          <w:lang w:val="en-US"/>
        </w:rPr>
        <w:t xml:space="preserve">In the context of the current global environmental crisis, UNESCO employs its best efforts to ensure that the projects supported under the GMDF do not harm the environment and protect local ecosystems. Implementing partners </w:t>
      </w:r>
      <w:r w:rsidR="00DA444C">
        <w:rPr>
          <w:sz w:val="22"/>
          <w:szCs w:val="22"/>
          <w:lang w:val="en-US"/>
        </w:rPr>
        <w:t xml:space="preserve">should </w:t>
      </w:r>
      <w:r w:rsidR="00F9299C" w:rsidRPr="00F9299C">
        <w:rPr>
          <w:sz w:val="22"/>
          <w:szCs w:val="22"/>
          <w:lang w:val="en-US"/>
        </w:rPr>
        <w:t>integrate sustainability considerations into the procurement processes associated to the implementation of the projects receiving UNESCO/GMDF support.</w:t>
      </w:r>
    </w:p>
    <w:p w14:paraId="47906633" w14:textId="77777777" w:rsidR="00F9299C" w:rsidRPr="001C37DB" w:rsidRDefault="00F9299C" w:rsidP="00F9299C">
      <w:pPr>
        <w:pStyle w:val="ListParagraph"/>
        <w:spacing w:after="0"/>
        <w:jc w:val="both"/>
        <w:rPr>
          <w:i/>
          <w:iCs/>
          <w:sz w:val="22"/>
          <w:szCs w:val="22"/>
          <w:lang w:val="en-US"/>
        </w:rPr>
      </w:pPr>
    </w:p>
    <w:p w14:paraId="03DB5FE0" w14:textId="106EC0D8" w:rsidR="001C37DB" w:rsidRDefault="00B53C8E" w:rsidP="001C37DB">
      <w:pPr>
        <w:jc w:val="both"/>
        <w:rPr>
          <w:sz w:val="22"/>
          <w:szCs w:val="22"/>
          <w:lang w:val="en-US"/>
        </w:rPr>
      </w:pPr>
      <w:r>
        <w:rPr>
          <w:i/>
          <w:iCs/>
          <w:sz w:val="22"/>
          <w:szCs w:val="22"/>
          <w:lang w:val="en-US"/>
        </w:rPr>
        <w:lastRenderedPageBreak/>
        <w:t>UNESCO Global Priorities</w:t>
      </w:r>
      <w:r w:rsidR="002F3C6C">
        <w:rPr>
          <w:i/>
          <w:iCs/>
          <w:sz w:val="22"/>
          <w:szCs w:val="22"/>
          <w:lang w:val="en-US"/>
        </w:rPr>
        <w:t>:</w:t>
      </w:r>
      <w:r>
        <w:rPr>
          <w:i/>
          <w:iCs/>
          <w:sz w:val="22"/>
          <w:szCs w:val="22"/>
          <w:lang w:val="en-US"/>
        </w:rPr>
        <w:t xml:space="preserve"> Africa and Gender Equality</w:t>
      </w:r>
    </w:p>
    <w:p w14:paraId="2162C2E4" w14:textId="6679D76B" w:rsidR="00B53C8E" w:rsidRDefault="001C5767" w:rsidP="001C37DB">
      <w:pPr>
        <w:jc w:val="both"/>
        <w:rPr>
          <w:sz w:val="22"/>
          <w:szCs w:val="22"/>
          <w:lang w:val="en-US"/>
        </w:rPr>
      </w:pPr>
      <w:r>
        <w:rPr>
          <w:sz w:val="22"/>
          <w:szCs w:val="22"/>
          <w:lang w:val="en-US"/>
        </w:rPr>
        <w:t>In line with UNESCO Global Priorit</w:t>
      </w:r>
      <w:r w:rsidR="004575BC">
        <w:rPr>
          <w:sz w:val="22"/>
          <w:szCs w:val="22"/>
          <w:lang w:val="en-US"/>
        </w:rPr>
        <w:t xml:space="preserve">ies </w:t>
      </w:r>
      <w:hyperlink r:id="rId21" w:history="1">
        <w:r w:rsidR="004575BC" w:rsidRPr="00792967">
          <w:rPr>
            <w:rStyle w:val="Hyperlink"/>
            <w:sz w:val="22"/>
            <w:szCs w:val="22"/>
            <w:lang w:val="en-US"/>
          </w:rPr>
          <w:t>Africa</w:t>
        </w:r>
      </w:hyperlink>
      <w:r w:rsidR="004575BC">
        <w:rPr>
          <w:sz w:val="22"/>
          <w:szCs w:val="22"/>
          <w:lang w:val="en-US"/>
        </w:rPr>
        <w:t xml:space="preserve"> and </w:t>
      </w:r>
      <w:hyperlink r:id="rId22" w:history="1">
        <w:r w:rsidR="004575BC" w:rsidRPr="00792967">
          <w:rPr>
            <w:rStyle w:val="Hyperlink"/>
            <w:sz w:val="22"/>
            <w:szCs w:val="22"/>
            <w:lang w:val="en-US"/>
          </w:rPr>
          <w:t>Gender Equality</w:t>
        </w:r>
      </w:hyperlink>
      <w:r w:rsidR="004575BC">
        <w:rPr>
          <w:sz w:val="22"/>
          <w:szCs w:val="22"/>
          <w:lang w:val="en-US"/>
        </w:rPr>
        <w:t>, a</w:t>
      </w:r>
      <w:r w:rsidR="005E7336">
        <w:rPr>
          <w:sz w:val="22"/>
          <w:szCs w:val="22"/>
          <w:lang w:val="en-US"/>
        </w:rPr>
        <w:t>dditional score will be given to partnership proposals meeting at least one of the following criteria:</w:t>
      </w:r>
    </w:p>
    <w:p w14:paraId="26157F4A" w14:textId="6AC70A93" w:rsidR="005E7336" w:rsidRDefault="008D1A55" w:rsidP="002B4BC7">
      <w:pPr>
        <w:pStyle w:val="ListParagraph"/>
        <w:numPr>
          <w:ilvl w:val="0"/>
          <w:numId w:val="18"/>
        </w:numPr>
        <w:jc w:val="both"/>
        <w:rPr>
          <w:sz w:val="22"/>
          <w:szCs w:val="22"/>
          <w:lang w:val="en-US"/>
        </w:rPr>
      </w:pPr>
      <w:r>
        <w:rPr>
          <w:sz w:val="22"/>
          <w:szCs w:val="22"/>
          <w:lang w:val="en-US"/>
        </w:rPr>
        <w:t>Proposals coming from or with a focus on Africa;</w:t>
      </w:r>
    </w:p>
    <w:p w14:paraId="19BBB657" w14:textId="4F20CDED" w:rsidR="007255BD" w:rsidRPr="007255BD" w:rsidRDefault="008D1A55" w:rsidP="007255BD">
      <w:pPr>
        <w:pStyle w:val="ListParagraph"/>
        <w:numPr>
          <w:ilvl w:val="0"/>
          <w:numId w:val="18"/>
        </w:numPr>
        <w:jc w:val="both"/>
        <w:rPr>
          <w:sz w:val="22"/>
          <w:szCs w:val="22"/>
          <w:lang w:val="en-US"/>
        </w:rPr>
      </w:pPr>
      <w:r>
        <w:rPr>
          <w:sz w:val="22"/>
          <w:szCs w:val="22"/>
          <w:lang w:val="en-US"/>
        </w:rPr>
        <w:t xml:space="preserve">Proposals addressing </w:t>
      </w:r>
      <w:r w:rsidR="007E654D" w:rsidRPr="007E654D">
        <w:rPr>
          <w:sz w:val="22"/>
          <w:szCs w:val="22"/>
          <w:lang w:val="en-US"/>
        </w:rPr>
        <w:t>the specific threats faced by women journalists, targeting women journalists as the main beneficiaries of the action, and/or making a tangible contribution to gender equality through the implementation of their proposed actions.</w:t>
      </w:r>
    </w:p>
    <w:p w14:paraId="32C53E79" w14:textId="685EE2BE" w:rsidR="005221FA" w:rsidRDefault="005221FA" w:rsidP="005221FA">
      <w:pPr>
        <w:jc w:val="both"/>
        <w:rPr>
          <w:i/>
          <w:iCs/>
          <w:sz w:val="22"/>
          <w:szCs w:val="22"/>
          <w:lang w:val="en-US"/>
        </w:rPr>
      </w:pPr>
      <w:r>
        <w:rPr>
          <w:i/>
          <w:iCs/>
          <w:sz w:val="22"/>
          <w:szCs w:val="22"/>
          <w:lang w:val="en-US"/>
        </w:rPr>
        <w:t xml:space="preserve">Special Attention: </w:t>
      </w:r>
      <w:r w:rsidR="00F51049">
        <w:rPr>
          <w:i/>
          <w:iCs/>
          <w:sz w:val="22"/>
          <w:szCs w:val="22"/>
          <w:lang w:val="en-US"/>
        </w:rPr>
        <w:t xml:space="preserve">LDCs, </w:t>
      </w:r>
      <w:r>
        <w:rPr>
          <w:i/>
          <w:iCs/>
          <w:sz w:val="22"/>
          <w:szCs w:val="22"/>
          <w:lang w:val="en-US"/>
        </w:rPr>
        <w:t>SIDS and Indigenous Peoples</w:t>
      </w:r>
    </w:p>
    <w:p w14:paraId="3B6D6BEC" w14:textId="57841C54" w:rsidR="005221FA" w:rsidRDefault="005648E6" w:rsidP="005221FA">
      <w:pPr>
        <w:jc w:val="both"/>
        <w:rPr>
          <w:sz w:val="22"/>
          <w:szCs w:val="22"/>
          <w:lang w:val="en-US"/>
        </w:rPr>
      </w:pPr>
      <w:r>
        <w:rPr>
          <w:sz w:val="22"/>
          <w:szCs w:val="22"/>
          <w:lang w:val="en-US"/>
        </w:rPr>
        <w:t>Special attention will be given to:</w:t>
      </w:r>
    </w:p>
    <w:p w14:paraId="21C8F2BE" w14:textId="16FBA870" w:rsidR="00382F23" w:rsidRDefault="00382F23" w:rsidP="005648E6">
      <w:pPr>
        <w:pStyle w:val="ListParagraph"/>
        <w:numPr>
          <w:ilvl w:val="0"/>
          <w:numId w:val="19"/>
        </w:numPr>
        <w:jc w:val="both"/>
        <w:rPr>
          <w:sz w:val="22"/>
          <w:szCs w:val="22"/>
          <w:lang w:val="en-US"/>
        </w:rPr>
      </w:pPr>
      <w:r>
        <w:rPr>
          <w:sz w:val="22"/>
          <w:szCs w:val="22"/>
          <w:lang w:val="en-US"/>
        </w:rPr>
        <w:t xml:space="preserve">Projects coming from or with a focus on </w:t>
      </w:r>
      <w:hyperlink r:id="rId23" w:history="1">
        <w:r w:rsidRPr="00C9673E">
          <w:rPr>
            <w:rStyle w:val="Hyperlink"/>
            <w:sz w:val="22"/>
            <w:szCs w:val="22"/>
            <w:lang w:val="en-US"/>
          </w:rPr>
          <w:t>Least Developed Countries</w:t>
        </w:r>
      </w:hyperlink>
      <w:r>
        <w:rPr>
          <w:sz w:val="22"/>
          <w:szCs w:val="22"/>
          <w:lang w:val="en-US"/>
        </w:rPr>
        <w:t xml:space="preserve">; </w:t>
      </w:r>
    </w:p>
    <w:p w14:paraId="5F60A994" w14:textId="1D42ABE3" w:rsidR="005648E6" w:rsidRDefault="005648E6" w:rsidP="005648E6">
      <w:pPr>
        <w:pStyle w:val="ListParagraph"/>
        <w:numPr>
          <w:ilvl w:val="0"/>
          <w:numId w:val="19"/>
        </w:numPr>
        <w:jc w:val="both"/>
        <w:rPr>
          <w:sz w:val="22"/>
          <w:szCs w:val="22"/>
          <w:lang w:val="en-US"/>
        </w:rPr>
      </w:pPr>
      <w:r>
        <w:rPr>
          <w:sz w:val="22"/>
          <w:szCs w:val="22"/>
          <w:lang w:val="en-US"/>
        </w:rPr>
        <w:t xml:space="preserve">Projects coming from or with a focus on </w:t>
      </w:r>
      <w:hyperlink r:id="rId24" w:history="1">
        <w:r w:rsidRPr="000613A2">
          <w:rPr>
            <w:rStyle w:val="Hyperlink"/>
            <w:sz w:val="22"/>
            <w:szCs w:val="22"/>
            <w:lang w:val="en-US"/>
          </w:rPr>
          <w:t>Small Island Developing States (SIDS)</w:t>
        </w:r>
      </w:hyperlink>
      <w:r>
        <w:rPr>
          <w:sz w:val="22"/>
          <w:szCs w:val="22"/>
          <w:lang w:val="en-US"/>
        </w:rPr>
        <w:t>;</w:t>
      </w:r>
    </w:p>
    <w:p w14:paraId="1B9E0FE3" w14:textId="3E0DB679" w:rsidR="005648E6" w:rsidRDefault="00D917E6" w:rsidP="005648E6">
      <w:pPr>
        <w:pStyle w:val="ListParagraph"/>
        <w:numPr>
          <w:ilvl w:val="0"/>
          <w:numId w:val="19"/>
        </w:numPr>
        <w:jc w:val="both"/>
        <w:rPr>
          <w:sz w:val="22"/>
          <w:szCs w:val="22"/>
          <w:lang w:val="en-US"/>
        </w:rPr>
      </w:pPr>
      <w:r>
        <w:rPr>
          <w:sz w:val="22"/>
          <w:szCs w:val="22"/>
          <w:lang w:val="en-US"/>
        </w:rPr>
        <w:t xml:space="preserve">Projects implemented by/with a strong participation of, or with a focus on </w:t>
      </w:r>
      <w:hyperlink r:id="rId25" w:history="1">
        <w:r w:rsidR="00E32CF5">
          <w:rPr>
            <w:rStyle w:val="Hyperlink"/>
            <w:sz w:val="22"/>
            <w:szCs w:val="22"/>
            <w:lang w:val="en-US"/>
          </w:rPr>
          <w:t>I</w:t>
        </w:r>
        <w:r w:rsidR="001B15C3" w:rsidRPr="00E32CF5">
          <w:rPr>
            <w:rStyle w:val="Hyperlink"/>
            <w:sz w:val="22"/>
            <w:szCs w:val="22"/>
            <w:lang w:val="en-US"/>
          </w:rPr>
          <w:t xml:space="preserve">ndigenous </w:t>
        </w:r>
        <w:r w:rsidR="00E32CF5">
          <w:rPr>
            <w:rStyle w:val="Hyperlink"/>
            <w:sz w:val="22"/>
            <w:szCs w:val="22"/>
            <w:lang w:val="en-US"/>
          </w:rPr>
          <w:t>P</w:t>
        </w:r>
        <w:r w:rsidR="001B15C3" w:rsidRPr="00E32CF5">
          <w:rPr>
            <w:rStyle w:val="Hyperlink"/>
            <w:sz w:val="22"/>
            <w:szCs w:val="22"/>
            <w:lang w:val="en-US"/>
          </w:rPr>
          <w:t>eoples</w:t>
        </w:r>
      </w:hyperlink>
      <w:r w:rsidR="001B15C3">
        <w:rPr>
          <w:sz w:val="22"/>
          <w:szCs w:val="22"/>
          <w:lang w:val="en-US"/>
        </w:rPr>
        <w:t>.</w:t>
      </w:r>
    </w:p>
    <w:p w14:paraId="5CD916C4" w14:textId="273537EB" w:rsidR="00EC249E" w:rsidRDefault="00EC249E" w:rsidP="00261143">
      <w:pPr>
        <w:jc w:val="both"/>
        <w:rPr>
          <w:i/>
          <w:iCs/>
          <w:sz w:val="22"/>
          <w:szCs w:val="22"/>
          <w:lang w:val="en-US"/>
        </w:rPr>
      </w:pPr>
      <w:r>
        <w:rPr>
          <w:sz w:val="22"/>
          <w:szCs w:val="22"/>
          <w:lang w:val="en-US"/>
        </w:rPr>
        <w:t>Special attention will also be given to t</w:t>
      </w:r>
      <w:r w:rsidRPr="00874A66">
        <w:rPr>
          <w:sz w:val="22"/>
          <w:szCs w:val="22"/>
          <w:lang w:val="en-US"/>
        </w:rPr>
        <w:t xml:space="preserve">he use of relevant UNESCO resources and publications, such as the </w:t>
      </w:r>
      <w:hyperlink r:id="rId26" w:history="1">
        <w:r w:rsidRPr="00874A66">
          <w:rPr>
            <w:rStyle w:val="Hyperlink"/>
            <w:sz w:val="22"/>
            <w:szCs w:val="22"/>
            <w:lang w:val="en-US"/>
          </w:rPr>
          <w:t>outcomes</w:t>
        </w:r>
      </w:hyperlink>
      <w:r w:rsidRPr="00874A66">
        <w:rPr>
          <w:sz w:val="22"/>
          <w:szCs w:val="22"/>
          <w:lang w:val="en-US"/>
        </w:rPr>
        <w:t xml:space="preserve"> of the regional and thematic consultations to mark the 10th anniversary of the UN Plan of Action on the Safety of Journalists and the Issue of Impunity; the </w:t>
      </w:r>
      <w:hyperlink r:id="rId27" w:history="1">
        <w:r w:rsidRPr="00874A66">
          <w:rPr>
            <w:rStyle w:val="Hyperlink"/>
            <w:sz w:val="22"/>
            <w:szCs w:val="22"/>
            <w:lang w:val="en-US"/>
          </w:rPr>
          <w:t>issue briefs</w:t>
        </w:r>
      </w:hyperlink>
      <w:r w:rsidRPr="00874A66">
        <w:rPr>
          <w:sz w:val="22"/>
          <w:szCs w:val="22"/>
          <w:lang w:val="en-US"/>
        </w:rPr>
        <w:t xml:space="preserve"> in UNESCO’s World Trends Report series; the </w:t>
      </w:r>
      <w:hyperlink r:id="rId28" w:history="1">
        <w:r w:rsidRPr="00874A66">
          <w:rPr>
            <w:rStyle w:val="Hyperlink"/>
            <w:sz w:val="22"/>
            <w:szCs w:val="22"/>
            <w:lang w:val="en-US"/>
          </w:rPr>
          <w:t>results</w:t>
        </w:r>
      </w:hyperlink>
      <w:r w:rsidRPr="00874A66">
        <w:rPr>
          <w:sz w:val="22"/>
          <w:szCs w:val="22"/>
          <w:lang w:val="en-US"/>
        </w:rPr>
        <w:t xml:space="preserve"> of the Safety of Women Journalists consultation: 10th anniversary of the UN Plan of Action on the Safety of Journalists and the Issue of Impunity; “The Chilling: global trends in online violence against women journalists” </w:t>
      </w:r>
      <w:hyperlink r:id="rId29" w:history="1">
        <w:r w:rsidRPr="00874A66">
          <w:rPr>
            <w:rStyle w:val="Hyperlink"/>
            <w:sz w:val="22"/>
            <w:szCs w:val="22"/>
            <w:lang w:val="en-US"/>
          </w:rPr>
          <w:t>report</w:t>
        </w:r>
      </w:hyperlink>
      <w:r w:rsidRPr="00874A66">
        <w:rPr>
          <w:sz w:val="22"/>
          <w:szCs w:val="22"/>
          <w:lang w:val="en-US"/>
        </w:rPr>
        <w:t xml:space="preserve">, and the UNESCO </w:t>
      </w:r>
      <w:hyperlink r:id="rId30" w:history="1">
        <w:r w:rsidRPr="00874A66">
          <w:rPr>
            <w:rStyle w:val="Hyperlink"/>
            <w:sz w:val="22"/>
            <w:szCs w:val="22"/>
            <w:lang w:val="en-US"/>
          </w:rPr>
          <w:t>Guidelines</w:t>
        </w:r>
      </w:hyperlink>
      <w:r w:rsidRPr="00874A66">
        <w:rPr>
          <w:sz w:val="22"/>
          <w:szCs w:val="22"/>
          <w:lang w:val="en-US"/>
        </w:rPr>
        <w:t xml:space="preserve"> on the Universal Periodic Review for Civil Society Organizations, among many others.</w:t>
      </w:r>
    </w:p>
    <w:p w14:paraId="777B1906" w14:textId="1F9CC909" w:rsidR="00261143" w:rsidRPr="007F6972" w:rsidRDefault="00261143" w:rsidP="00261143">
      <w:pPr>
        <w:jc w:val="both"/>
        <w:rPr>
          <w:i/>
          <w:iCs/>
          <w:sz w:val="22"/>
          <w:szCs w:val="22"/>
          <w:lang w:val="en-US"/>
        </w:rPr>
      </w:pPr>
      <w:r>
        <w:rPr>
          <w:i/>
          <w:iCs/>
          <w:sz w:val="22"/>
          <w:szCs w:val="22"/>
          <w:lang w:val="en-US"/>
        </w:rPr>
        <w:t>Global Roadmap for Information as a Public Good in the face of Environmental Crisis</w:t>
      </w:r>
    </w:p>
    <w:p w14:paraId="62627DA5" w14:textId="65339D67" w:rsidR="00261143" w:rsidRDefault="00261143" w:rsidP="00261143">
      <w:pPr>
        <w:jc w:val="both"/>
        <w:rPr>
          <w:sz w:val="22"/>
          <w:szCs w:val="22"/>
          <w:lang w:val="en-US"/>
        </w:rPr>
      </w:pPr>
      <w:r>
        <w:rPr>
          <w:sz w:val="22"/>
          <w:szCs w:val="22"/>
          <w:lang w:val="en-US"/>
        </w:rPr>
        <w:t>In addition to the above, additional score will be attributed to partnership proposals</w:t>
      </w:r>
      <w:r w:rsidR="008B3747">
        <w:rPr>
          <w:sz w:val="22"/>
          <w:szCs w:val="22"/>
          <w:lang w:val="en-US"/>
        </w:rPr>
        <w:t xml:space="preserve"> </w:t>
      </w:r>
      <w:r w:rsidR="00CC0858">
        <w:rPr>
          <w:sz w:val="22"/>
          <w:szCs w:val="22"/>
          <w:lang w:val="en-US"/>
        </w:rPr>
        <w:t>with the potential of presenting preliminary results in advance of COP30</w:t>
      </w:r>
      <w:r w:rsidR="00913D29">
        <w:rPr>
          <w:sz w:val="22"/>
          <w:szCs w:val="22"/>
          <w:lang w:val="en-US"/>
        </w:rPr>
        <w:t xml:space="preserve"> (November 2025)</w:t>
      </w:r>
      <w:r w:rsidR="00CC0858">
        <w:rPr>
          <w:sz w:val="22"/>
          <w:szCs w:val="22"/>
          <w:lang w:val="en-US"/>
        </w:rPr>
        <w:t xml:space="preserve">. </w:t>
      </w:r>
    </w:p>
    <w:p w14:paraId="5B55A3DA" w14:textId="4EB02456" w:rsidR="00C96669" w:rsidRDefault="00B30063" w:rsidP="007F3384">
      <w:pPr>
        <w:jc w:val="both"/>
        <w:rPr>
          <w:sz w:val="22"/>
          <w:szCs w:val="22"/>
          <w:lang w:val="en-US"/>
        </w:rPr>
      </w:pPr>
      <w:r>
        <w:rPr>
          <w:b/>
          <w:bCs/>
          <w:sz w:val="22"/>
          <w:szCs w:val="22"/>
          <w:lang w:val="en-US"/>
        </w:rPr>
        <w:t xml:space="preserve">2. </w:t>
      </w:r>
      <w:r w:rsidR="003B550D" w:rsidRPr="00CA6D57">
        <w:rPr>
          <w:b/>
          <w:bCs/>
          <w:sz w:val="22"/>
          <w:szCs w:val="22"/>
          <w:u w:val="single"/>
          <w:lang w:val="en-US"/>
        </w:rPr>
        <w:t>Financial Proposal (Project Budget)</w:t>
      </w:r>
      <w:r w:rsidR="003B550D" w:rsidRPr="003B550D">
        <w:rPr>
          <w:b/>
          <w:bCs/>
          <w:sz w:val="22"/>
          <w:szCs w:val="22"/>
          <w:lang w:val="en-US"/>
        </w:rPr>
        <w:t>:</w:t>
      </w:r>
      <w:r w:rsidR="004B15C9">
        <w:rPr>
          <w:sz w:val="22"/>
          <w:szCs w:val="22"/>
          <w:lang w:val="en-US"/>
        </w:rPr>
        <w:t xml:space="preserve"> </w:t>
      </w:r>
      <w:r w:rsidR="00990A05">
        <w:rPr>
          <w:sz w:val="22"/>
          <w:szCs w:val="22"/>
          <w:lang w:val="en-US"/>
        </w:rPr>
        <w:t xml:space="preserve">Candidate organizations must fill out the Budget </w:t>
      </w:r>
      <w:r w:rsidR="0075074D">
        <w:rPr>
          <w:sz w:val="22"/>
          <w:szCs w:val="22"/>
          <w:lang w:val="en-US"/>
        </w:rPr>
        <w:t xml:space="preserve">Proposal </w:t>
      </w:r>
      <w:r w:rsidR="00990A05">
        <w:rPr>
          <w:sz w:val="22"/>
          <w:szCs w:val="22"/>
          <w:lang w:val="en-US"/>
        </w:rPr>
        <w:t>Template (Annex 4)</w:t>
      </w:r>
      <w:r w:rsidR="00D07A14">
        <w:rPr>
          <w:sz w:val="22"/>
          <w:szCs w:val="22"/>
          <w:lang w:val="en-US"/>
        </w:rPr>
        <w:t xml:space="preserve"> in US dollars</w:t>
      </w:r>
      <w:r w:rsidR="00BF265A">
        <w:rPr>
          <w:sz w:val="22"/>
          <w:szCs w:val="22"/>
          <w:lang w:val="en-US"/>
        </w:rPr>
        <w:t xml:space="preserve">, </w:t>
      </w:r>
      <w:r w:rsidR="00BF265A">
        <w:rPr>
          <w:sz w:val="22"/>
          <w:szCs w:val="22"/>
          <w:u w:val="single"/>
          <w:lang w:val="en-US"/>
        </w:rPr>
        <w:t>with one exception</w:t>
      </w:r>
      <w:r w:rsidR="00BF265A">
        <w:rPr>
          <w:sz w:val="22"/>
          <w:szCs w:val="22"/>
          <w:lang w:val="en-US"/>
        </w:rPr>
        <w:t xml:space="preserve">: </w:t>
      </w:r>
      <w:r w:rsidR="002B5C88" w:rsidRPr="002B5C88">
        <w:rPr>
          <w:sz w:val="22"/>
          <w:szCs w:val="22"/>
          <w:lang w:val="en-US"/>
        </w:rPr>
        <w:t>if the candidate partner has a bank account in Euros, the budget should be presented in that currency</w:t>
      </w:r>
      <w:r w:rsidR="00666599">
        <w:rPr>
          <w:sz w:val="22"/>
          <w:szCs w:val="22"/>
          <w:lang w:val="en-US"/>
        </w:rPr>
        <w:t xml:space="preserve"> in the second tab of the said Template</w:t>
      </w:r>
      <w:r w:rsidR="002B5C88" w:rsidRPr="002B5C88">
        <w:rPr>
          <w:sz w:val="22"/>
          <w:szCs w:val="22"/>
          <w:lang w:val="en-US"/>
        </w:rPr>
        <w:t xml:space="preserve"> (using </w:t>
      </w:r>
      <w:r w:rsidR="00360339">
        <w:rPr>
          <w:sz w:val="22"/>
          <w:szCs w:val="22"/>
          <w:lang w:val="en-US"/>
        </w:rPr>
        <w:t xml:space="preserve">the </w:t>
      </w:r>
      <w:hyperlink r:id="rId31" w:history="1">
        <w:r w:rsidR="00360339" w:rsidRPr="00360339">
          <w:rPr>
            <w:rStyle w:val="Hyperlink"/>
            <w:sz w:val="22"/>
            <w:szCs w:val="22"/>
            <w:lang w:val="en-US"/>
          </w:rPr>
          <w:t>UN Exchange Rate</w:t>
        </w:r>
      </w:hyperlink>
      <w:r w:rsidR="002B5C88" w:rsidRPr="002B5C88">
        <w:rPr>
          <w:sz w:val="22"/>
          <w:szCs w:val="22"/>
          <w:lang w:val="en-US"/>
        </w:rPr>
        <w:t xml:space="preserve"> for conversion)</w:t>
      </w:r>
      <w:r w:rsidR="0075074D">
        <w:rPr>
          <w:sz w:val="22"/>
          <w:szCs w:val="22"/>
          <w:lang w:val="en-US"/>
        </w:rPr>
        <w:t>.</w:t>
      </w:r>
      <w:r w:rsidR="00D65188">
        <w:rPr>
          <w:sz w:val="22"/>
          <w:szCs w:val="22"/>
          <w:lang w:val="en-US"/>
        </w:rPr>
        <w:t xml:space="preserve"> </w:t>
      </w:r>
      <w:r w:rsidR="00D65188" w:rsidRPr="00D65188">
        <w:rPr>
          <w:sz w:val="22"/>
          <w:szCs w:val="22"/>
          <w:lang w:val="en-US"/>
        </w:rPr>
        <w:t>Budgets that are handwritten and/or in a different format will not be accepted.</w:t>
      </w:r>
    </w:p>
    <w:p w14:paraId="600CC8E2" w14:textId="2821B195" w:rsidR="00701139" w:rsidRPr="00457E04" w:rsidRDefault="00FF730C" w:rsidP="007F3384">
      <w:pPr>
        <w:jc w:val="both"/>
        <w:rPr>
          <w:sz w:val="22"/>
          <w:szCs w:val="22"/>
          <w:lang w:val="en-US"/>
        </w:rPr>
      </w:pPr>
      <w:r>
        <w:rPr>
          <w:sz w:val="22"/>
          <w:szCs w:val="22"/>
          <w:lang w:val="en-US"/>
        </w:rPr>
        <w:t>The budget should be prepared in sufficient detail to justify resource requirements</w:t>
      </w:r>
      <w:r w:rsidR="007D1B5A">
        <w:rPr>
          <w:sz w:val="22"/>
          <w:szCs w:val="22"/>
          <w:lang w:val="en-US"/>
        </w:rPr>
        <w:t xml:space="preserve">, demonstrate cost-effectiveness, </w:t>
      </w:r>
      <w:r w:rsidR="00CE431E" w:rsidRPr="00CE431E">
        <w:rPr>
          <w:sz w:val="22"/>
          <w:szCs w:val="22"/>
          <w:lang w:val="en-US"/>
        </w:rPr>
        <w:t>and, as far as practicable, provide a breakdown of the resource requirements corresponding to the periods for which cash transfers will be made to the implementation partner (see “Contracting Process and Project Implementation” below).</w:t>
      </w:r>
      <w:r w:rsidR="00527885">
        <w:rPr>
          <w:sz w:val="22"/>
          <w:szCs w:val="22"/>
          <w:lang w:val="en-US"/>
        </w:rPr>
        <w:t xml:space="preserve"> </w:t>
      </w:r>
      <w:r w:rsidR="00D044D9" w:rsidRPr="00D044D9">
        <w:rPr>
          <w:sz w:val="22"/>
          <w:szCs w:val="22"/>
          <w:lang w:val="en-US"/>
        </w:rPr>
        <w:t xml:space="preserve">Cost breakdown must be deemed reasonable and fair by UNESCO in comparison with prevailing market trends, and </w:t>
      </w:r>
      <w:r w:rsidR="00D044D9" w:rsidRPr="00D044D9">
        <w:rPr>
          <w:sz w:val="22"/>
          <w:szCs w:val="22"/>
          <w:lang w:val="en-US"/>
        </w:rPr>
        <w:lastRenderedPageBreak/>
        <w:t>represent value for money</w:t>
      </w:r>
      <w:r w:rsidR="00B414DA">
        <w:rPr>
          <w:rStyle w:val="FootnoteReference"/>
          <w:sz w:val="22"/>
          <w:szCs w:val="22"/>
          <w:lang w:val="en-US"/>
        </w:rPr>
        <w:footnoteReference w:id="2"/>
      </w:r>
      <w:r w:rsidR="00D044D9" w:rsidRPr="00D044D9">
        <w:rPr>
          <w:sz w:val="22"/>
          <w:szCs w:val="22"/>
          <w:lang w:val="en-US"/>
        </w:rPr>
        <w:t>. Implementation partners are expected to justify how they will ensure the project costs represent value for money</w:t>
      </w:r>
      <w:r w:rsidR="00D044D9">
        <w:rPr>
          <w:sz w:val="22"/>
          <w:szCs w:val="22"/>
          <w:lang w:val="en-US"/>
        </w:rPr>
        <w:t>.</w:t>
      </w:r>
    </w:p>
    <w:p w14:paraId="6DE51C72" w14:textId="1E79D836" w:rsidR="0002790F" w:rsidRDefault="0065794C" w:rsidP="000C2288">
      <w:pPr>
        <w:jc w:val="both"/>
        <w:rPr>
          <w:sz w:val="22"/>
          <w:szCs w:val="20"/>
          <w:lang w:val="en-US"/>
        </w:rPr>
      </w:pPr>
      <w:r>
        <w:rPr>
          <w:sz w:val="22"/>
          <w:szCs w:val="20"/>
          <w:lang w:val="en-US"/>
        </w:rPr>
        <w:t>The</w:t>
      </w:r>
      <w:r w:rsidR="003F121F">
        <w:rPr>
          <w:sz w:val="22"/>
          <w:szCs w:val="20"/>
          <w:lang w:val="en-US"/>
        </w:rPr>
        <w:t xml:space="preserve"> project budget </w:t>
      </w:r>
      <w:r w:rsidR="00D421D5">
        <w:rPr>
          <w:sz w:val="22"/>
          <w:szCs w:val="20"/>
          <w:lang w:val="en-US"/>
        </w:rPr>
        <w:t xml:space="preserve">serves as the basis </w:t>
      </w:r>
      <w:r w:rsidR="00672A94">
        <w:rPr>
          <w:sz w:val="22"/>
          <w:szCs w:val="20"/>
          <w:lang w:val="en-US"/>
        </w:rPr>
        <w:t xml:space="preserve">for exercising </w:t>
      </w:r>
      <w:r w:rsidR="00D421D5">
        <w:rPr>
          <w:sz w:val="22"/>
          <w:szCs w:val="20"/>
          <w:lang w:val="en-US"/>
        </w:rPr>
        <w:t>financial oversight and monitoring resources provided to partners</w:t>
      </w:r>
      <w:r w:rsidR="00672A94">
        <w:rPr>
          <w:sz w:val="22"/>
          <w:szCs w:val="20"/>
          <w:lang w:val="en-US"/>
        </w:rPr>
        <w:t xml:space="preserve"> (in addition to</w:t>
      </w:r>
      <w:r w:rsidR="00AA2479">
        <w:rPr>
          <w:sz w:val="22"/>
          <w:szCs w:val="20"/>
          <w:lang w:val="en-US"/>
        </w:rPr>
        <w:t xml:space="preserve"> workplan and</w:t>
      </w:r>
      <w:r w:rsidR="00672A94">
        <w:rPr>
          <w:sz w:val="22"/>
          <w:szCs w:val="20"/>
          <w:lang w:val="en-US"/>
        </w:rPr>
        <w:t xml:space="preserve"> targets set out in the</w:t>
      </w:r>
      <w:r w:rsidR="00AA2479">
        <w:rPr>
          <w:sz w:val="22"/>
          <w:szCs w:val="20"/>
          <w:lang w:val="en-US"/>
        </w:rPr>
        <w:t xml:space="preserve"> corresponding</w:t>
      </w:r>
      <w:r w:rsidR="00672A94">
        <w:rPr>
          <w:sz w:val="22"/>
          <w:szCs w:val="20"/>
          <w:lang w:val="en-US"/>
        </w:rPr>
        <w:t xml:space="preserve"> Implementation Partners’ Agreement</w:t>
      </w:r>
      <w:r w:rsidR="00AA2479">
        <w:rPr>
          <w:sz w:val="22"/>
          <w:szCs w:val="20"/>
          <w:lang w:val="en-US"/>
        </w:rPr>
        <w:t>).</w:t>
      </w:r>
      <w:r w:rsidR="00234136">
        <w:rPr>
          <w:sz w:val="22"/>
          <w:szCs w:val="20"/>
          <w:lang w:val="en-US"/>
        </w:rPr>
        <w:t xml:space="preserve"> A variation of up to 10% in actual expenditure on budget lines/cost items can be considered acceptable, </w:t>
      </w:r>
      <w:r w:rsidR="0015495D" w:rsidRPr="0015495D">
        <w:rPr>
          <w:sz w:val="22"/>
          <w:szCs w:val="20"/>
          <w:lang w:val="en-US"/>
        </w:rPr>
        <w:t xml:space="preserve">provided that the overall allocation under the </w:t>
      </w:r>
      <w:r w:rsidR="0015495D">
        <w:rPr>
          <w:sz w:val="22"/>
          <w:szCs w:val="20"/>
          <w:lang w:val="en-US"/>
        </w:rPr>
        <w:t>Implementation Partners’</w:t>
      </w:r>
      <w:r w:rsidR="0015495D" w:rsidRPr="0015495D">
        <w:rPr>
          <w:sz w:val="22"/>
          <w:szCs w:val="20"/>
          <w:lang w:val="en-US"/>
        </w:rPr>
        <w:t xml:space="preserve"> Agreement is not exceeded. </w:t>
      </w:r>
      <w:r w:rsidR="0002790F">
        <w:rPr>
          <w:sz w:val="22"/>
          <w:szCs w:val="20"/>
          <w:lang w:val="en-US"/>
        </w:rPr>
        <w:t>Variations of more than 10%</w:t>
      </w:r>
      <w:r w:rsidR="000D71BE">
        <w:rPr>
          <w:sz w:val="22"/>
          <w:szCs w:val="20"/>
          <w:lang w:val="en-US"/>
        </w:rPr>
        <w:t xml:space="preserve"> in a given budget line/</w:t>
      </w:r>
      <w:r w:rsidR="00896662">
        <w:rPr>
          <w:sz w:val="22"/>
          <w:szCs w:val="20"/>
          <w:lang w:val="en-US"/>
        </w:rPr>
        <w:t>cost item</w:t>
      </w:r>
      <w:r w:rsidR="00FC1890">
        <w:rPr>
          <w:sz w:val="22"/>
          <w:szCs w:val="20"/>
          <w:lang w:val="en-US"/>
        </w:rPr>
        <w:t xml:space="preserve"> </w:t>
      </w:r>
      <w:r w:rsidR="00F21920">
        <w:rPr>
          <w:sz w:val="22"/>
          <w:szCs w:val="20"/>
          <w:lang w:val="en-US"/>
        </w:rPr>
        <w:t>must</w:t>
      </w:r>
      <w:r w:rsidR="00FC1890">
        <w:rPr>
          <w:sz w:val="22"/>
          <w:szCs w:val="20"/>
          <w:lang w:val="en-US"/>
        </w:rPr>
        <w:t xml:space="preserve"> be</w:t>
      </w:r>
      <w:r w:rsidR="0000219B">
        <w:rPr>
          <w:sz w:val="22"/>
          <w:szCs w:val="20"/>
          <w:lang w:val="en-US"/>
        </w:rPr>
        <w:t xml:space="preserve"> submitted to the</w:t>
      </w:r>
      <w:r w:rsidR="00F21920">
        <w:rPr>
          <w:sz w:val="22"/>
          <w:szCs w:val="20"/>
          <w:lang w:val="en-US"/>
        </w:rPr>
        <w:t xml:space="preserve"> consideration and</w:t>
      </w:r>
      <w:r w:rsidR="0000219B">
        <w:rPr>
          <w:sz w:val="22"/>
          <w:szCs w:val="20"/>
          <w:lang w:val="en-US"/>
        </w:rPr>
        <w:t xml:space="preserve"> approval of UNESCO</w:t>
      </w:r>
      <w:r w:rsidR="00A3608A">
        <w:rPr>
          <w:sz w:val="22"/>
          <w:szCs w:val="20"/>
          <w:lang w:val="en-US"/>
        </w:rPr>
        <w:t xml:space="preserve">, </w:t>
      </w:r>
      <w:r w:rsidR="00C3013F">
        <w:rPr>
          <w:sz w:val="22"/>
          <w:szCs w:val="20"/>
          <w:lang w:val="en-US"/>
        </w:rPr>
        <w:t>and reflected in an addendum to the Agreement</w:t>
      </w:r>
      <w:r w:rsidR="00F21920">
        <w:rPr>
          <w:sz w:val="22"/>
          <w:szCs w:val="20"/>
          <w:lang w:val="en-US"/>
        </w:rPr>
        <w:t>.</w:t>
      </w:r>
    </w:p>
    <w:p w14:paraId="7B19FCCA" w14:textId="36FAA850" w:rsidR="00554029" w:rsidRPr="00554029" w:rsidRDefault="00554029" w:rsidP="000C2288">
      <w:pPr>
        <w:jc w:val="both"/>
        <w:rPr>
          <w:b/>
          <w:bCs/>
          <w:sz w:val="22"/>
          <w:szCs w:val="20"/>
          <w:lang w:val="en-US"/>
        </w:rPr>
      </w:pPr>
      <w:r>
        <w:rPr>
          <w:b/>
          <w:bCs/>
          <w:sz w:val="22"/>
          <w:szCs w:val="20"/>
          <w:lang w:val="en-US"/>
        </w:rPr>
        <w:t>Partner’s Contribution</w:t>
      </w:r>
    </w:p>
    <w:p w14:paraId="1E4E9DC1" w14:textId="1977BA3A" w:rsidR="00E0211D" w:rsidRPr="00E0211D" w:rsidRDefault="009536B2" w:rsidP="00E0211D">
      <w:pPr>
        <w:jc w:val="both"/>
        <w:rPr>
          <w:b/>
          <w:bCs/>
          <w:sz w:val="22"/>
          <w:szCs w:val="20"/>
          <w:lang w:val="en-US"/>
        </w:rPr>
      </w:pPr>
      <w:r>
        <w:rPr>
          <w:sz w:val="22"/>
          <w:szCs w:val="20"/>
          <w:lang w:val="en-US"/>
        </w:rPr>
        <w:t>All partners are expected to make a financial contribution (monetary or in-kind</w:t>
      </w:r>
      <w:r w:rsidR="00AA3528">
        <w:rPr>
          <w:rStyle w:val="FootnoteReference"/>
          <w:sz w:val="22"/>
          <w:szCs w:val="20"/>
          <w:lang w:val="en-US"/>
        </w:rPr>
        <w:footnoteReference w:id="3"/>
      </w:r>
      <w:r>
        <w:rPr>
          <w:sz w:val="22"/>
          <w:szCs w:val="20"/>
          <w:lang w:val="en-US"/>
        </w:rPr>
        <w:t xml:space="preserve">) </w:t>
      </w:r>
      <w:r w:rsidR="00554029">
        <w:rPr>
          <w:sz w:val="22"/>
          <w:szCs w:val="20"/>
          <w:lang w:val="en-US"/>
        </w:rPr>
        <w:t xml:space="preserve">equivalent to </w:t>
      </w:r>
      <w:r w:rsidR="00554029" w:rsidRPr="007F7E59">
        <w:rPr>
          <w:sz w:val="22"/>
          <w:szCs w:val="20"/>
          <w:u w:val="single"/>
          <w:lang w:val="en-US"/>
        </w:rPr>
        <w:t>at least five percent</w:t>
      </w:r>
      <w:r w:rsidR="007F7E59" w:rsidRPr="00E0211D">
        <w:rPr>
          <w:sz w:val="22"/>
          <w:szCs w:val="20"/>
          <w:u w:val="single"/>
          <w:lang w:val="en-US"/>
        </w:rPr>
        <w:t xml:space="preserve"> of the total project budget</w:t>
      </w:r>
      <w:r w:rsidR="007F7E59">
        <w:rPr>
          <w:sz w:val="22"/>
          <w:szCs w:val="20"/>
          <w:lang w:val="en-US"/>
        </w:rPr>
        <w:t xml:space="preserve">, which must include direct costs </w:t>
      </w:r>
      <w:r w:rsidR="00E0211D" w:rsidRPr="008334CB">
        <w:rPr>
          <w:sz w:val="22"/>
          <w:szCs w:val="22"/>
          <w:lang w:val="en-US"/>
        </w:rPr>
        <w:t>relevant to the attainment of the objectives of the action (and not only costs related to the general operation of their organization</w:t>
      </w:r>
      <w:r w:rsidR="00E0211D">
        <w:rPr>
          <w:sz w:val="22"/>
          <w:szCs w:val="22"/>
          <w:lang w:val="en-US"/>
        </w:rPr>
        <w:t>).</w:t>
      </w:r>
      <w:r w:rsidR="003428B9">
        <w:rPr>
          <w:sz w:val="22"/>
          <w:szCs w:val="22"/>
          <w:lang w:val="en-US"/>
        </w:rPr>
        <w:t xml:space="preserve"> Salaries can be accepted as part of the partner’s contribution, provided that </w:t>
      </w:r>
      <w:r w:rsidR="00FE0238">
        <w:rPr>
          <w:sz w:val="22"/>
          <w:szCs w:val="22"/>
          <w:lang w:val="en-US"/>
        </w:rPr>
        <w:t>the organization can explain the role of staff members in the project and the time dedicated to the project.</w:t>
      </w:r>
    </w:p>
    <w:p w14:paraId="39015E45" w14:textId="51EBC65C" w:rsidR="00BF7EDD" w:rsidRDefault="00BF7EDD" w:rsidP="000C2288">
      <w:pPr>
        <w:jc w:val="both"/>
        <w:rPr>
          <w:sz w:val="22"/>
          <w:szCs w:val="20"/>
          <w:lang w:val="en-US"/>
        </w:rPr>
      </w:pPr>
      <w:r>
        <w:rPr>
          <w:b/>
          <w:bCs/>
          <w:sz w:val="22"/>
          <w:szCs w:val="20"/>
          <w:lang w:val="en-US"/>
        </w:rPr>
        <w:t>Eligible Costs</w:t>
      </w:r>
    </w:p>
    <w:p w14:paraId="08562595" w14:textId="346F0C94" w:rsidR="00BF7EDD" w:rsidRDefault="004A7447" w:rsidP="000C2288">
      <w:pPr>
        <w:jc w:val="both"/>
        <w:rPr>
          <w:sz w:val="22"/>
          <w:szCs w:val="20"/>
          <w:lang w:val="en-US"/>
        </w:rPr>
      </w:pPr>
      <w:r w:rsidRPr="004A7447">
        <w:rPr>
          <w:sz w:val="22"/>
          <w:szCs w:val="20"/>
          <w:lang w:val="en-US"/>
        </w:rPr>
        <w:t xml:space="preserve">Candidate partners must make sure every activity and cost item are included in the budget, including costs that will be part of their contribution to the project (see “Partner’s Contribution” </w:t>
      </w:r>
      <w:r>
        <w:rPr>
          <w:sz w:val="22"/>
          <w:szCs w:val="20"/>
          <w:lang w:val="en-US"/>
        </w:rPr>
        <w:t>above</w:t>
      </w:r>
      <w:r w:rsidRPr="004A7447">
        <w:rPr>
          <w:sz w:val="22"/>
          <w:szCs w:val="20"/>
          <w:lang w:val="en-US"/>
        </w:rPr>
        <w:t>). Items that are not included in the approved budget will not be covered.</w:t>
      </w:r>
    </w:p>
    <w:p w14:paraId="65B7F049" w14:textId="265627EB" w:rsidR="0071338D" w:rsidRDefault="00A03363" w:rsidP="0071338D">
      <w:pPr>
        <w:jc w:val="both"/>
        <w:rPr>
          <w:sz w:val="22"/>
          <w:szCs w:val="20"/>
          <w:lang w:val="en-US"/>
        </w:rPr>
      </w:pPr>
      <w:r w:rsidRPr="00A03363">
        <w:rPr>
          <w:sz w:val="22"/>
          <w:szCs w:val="20"/>
          <w:lang w:val="en-US"/>
        </w:rPr>
        <w:t xml:space="preserve">Budgets should be prepared for each activity and further broken down by budget component or </w:t>
      </w:r>
      <w:r>
        <w:rPr>
          <w:sz w:val="22"/>
          <w:szCs w:val="20"/>
          <w:lang w:val="en-US"/>
        </w:rPr>
        <w:t>cost item</w:t>
      </w:r>
      <w:r w:rsidRPr="00A03363">
        <w:rPr>
          <w:sz w:val="22"/>
          <w:szCs w:val="20"/>
          <w:lang w:val="en-US"/>
        </w:rPr>
        <w:t xml:space="preserve">. </w:t>
      </w:r>
      <w:r w:rsidR="003D5AEE">
        <w:rPr>
          <w:sz w:val="22"/>
          <w:szCs w:val="20"/>
          <w:lang w:val="en-US"/>
        </w:rPr>
        <w:t xml:space="preserve">Budgets </w:t>
      </w:r>
      <w:r w:rsidRPr="00A03363">
        <w:rPr>
          <w:sz w:val="22"/>
          <w:szCs w:val="20"/>
          <w:lang w:val="en-US"/>
        </w:rPr>
        <w:t>which do not have the necessary</w:t>
      </w:r>
      <w:r w:rsidR="00302CBD">
        <w:rPr>
          <w:sz w:val="22"/>
          <w:szCs w:val="20"/>
          <w:lang w:val="en-US"/>
        </w:rPr>
        <w:t xml:space="preserve"> cost</w:t>
      </w:r>
      <w:r w:rsidRPr="00A03363">
        <w:rPr>
          <w:sz w:val="22"/>
          <w:szCs w:val="20"/>
          <w:lang w:val="en-US"/>
        </w:rPr>
        <w:t xml:space="preserve"> breakdown will not be accepted</w:t>
      </w:r>
      <w:r w:rsidR="00346572">
        <w:rPr>
          <w:sz w:val="22"/>
          <w:szCs w:val="20"/>
          <w:lang w:val="en-US"/>
        </w:rPr>
        <w:t>, nor will any cost items lacking the necessary breakdown (i.e. which do not explain how the funds will be spent, such as “Miscellaneous Expenses”)</w:t>
      </w:r>
      <w:r w:rsidR="0071338D">
        <w:rPr>
          <w:rStyle w:val="FootnoteReference"/>
          <w:sz w:val="22"/>
          <w:szCs w:val="20"/>
          <w:lang w:val="en-US"/>
        </w:rPr>
        <w:footnoteReference w:id="4"/>
      </w:r>
      <w:r w:rsidR="00346572">
        <w:rPr>
          <w:sz w:val="22"/>
          <w:szCs w:val="20"/>
          <w:lang w:val="en-US"/>
        </w:rPr>
        <w:t>.</w:t>
      </w:r>
      <w:r w:rsidR="00EB3E1E">
        <w:rPr>
          <w:sz w:val="22"/>
          <w:szCs w:val="20"/>
          <w:lang w:val="en-US"/>
        </w:rPr>
        <w:t xml:space="preserve"> </w:t>
      </w:r>
    </w:p>
    <w:p w14:paraId="5088ADDB" w14:textId="4503EC29" w:rsidR="00972479" w:rsidRDefault="00F73120" w:rsidP="000C2288">
      <w:pPr>
        <w:jc w:val="both"/>
        <w:rPr>
          <w:sz w:val="22"/>
          <w:szCs w:val="20"/>
          <w:lang w:val="en-US"/>
        </w:rPr>
      </w:pPr>
      <w:r>
        <w:rPr>
          <w:sz w:val="22"/>
          <w:szCs w:val="20"/>
          <w:lang w:val="en-US"/>
        </w:rPr>
        <w:t xml:space="preserve">The budget financed by UNESCO/GMDF </w:t>
      </w:r>
      <w:r w:rsidR="00D14BC0" w:rsidRPr="00D14BC0">
        <w:rPr>
          <w:sz w:val="22"/>
          <w:szCs w:val="20"/>
          <w:lang w:val="en-US"/>
        </w:rPr>
        <w:t>should only include direct costs relevant to the achievement of the project objectives.</w:t>
      </w:r>
      <w:r w:rsidR="005C63E5">
        <w:rPr>
          <w:sz w:val="22"/>
          <w:szCs w:val="20"/>
          <w:lang w:val="en-US"/>
        </w:rPr>
        <w:t xml:space="preserve"> </w:t>
      </w:r>
      <w:r w:rsidR="005C63E5" w:rsidRPr="005C63E5">
        <w:rPr>
          <w:sz w:val="22"/>
          <w:szCs w:val="20"/>
          <w:lang w:val="en-US"/>
        </w:rPr>
        <w:t>Direct costs are expenses necessary for the implementation of the proposed action, directly attributable to it, arising directly from its implementation, and charged proportionally to actual use under the project</w:t>
      </w:r>
      <w:r w:rsidR="00696CF2">
        <w:rPr>
          <w:sz w:val="22"/>
          <w:szCs w:val="20"/>
          <w:lang w:val="en-US"/>
        </w:rPr>
        <w:t xml:space="preserve"> (direct budgeting based on activities)</w:t>
      </w:r>
      <w:r w:rsidR="005C63E5" w:rsidRPr="005C63E5">
        <w:rPr>
          <w:sz w:val="22"/>
          <w:szCs w:val="20"/>
          <w:lang w:val="en-US"/>
        </w:rPr>
        <w:t>.</w:t>
      </w:r>
      <w:r w:rsidR="003A44A2">
        <w:rPr>
          <w:sz w:val="22"/>
          <w:szCs w:val="20"/>
          <w:lang w:val="en-US"/>
        </w:rPr>
        <w:t xml:space="preserve"> </w:t>
      </w:r>
    </w:p>
    <w:p w14:paraId="64AF62E6" w14:textId="6503A600" w:rsidR="00526326" w:rsidRDefault="006C0D76" w:rsidP="000C2288">
      <w:pPr>
        <w:jc w:val="both"/>
        <w:rPr>
          <w:sz w:val="22"/>
          <w:szCs w:val="20"/>
          <w:lang w:val="en-US"/>
        </w:rPr>
      </w:pPr>
      <w:r>
        <w:rPr>
          <w:sz w:val="22"/>
          <w:szCs w:val="20"/>
          <w:lang w:val="en-US"/>
        </w:rPr>
        <w:lastRenderedPageBreak/>
        <w:t>The budget financed by UNESCO/GMDF cannot cover core funding or recurrent costs</w:t>
      </w:r>
      <w:r w:rsidR="00AB4FC4">
        <w:rPr>
          <w:sz w:val="22"/>
          <w:szCs w:val="20"/>
          <w:lang w:val="en-US"/>
        </w:rPr>
        <w:t>. Limited coordination costs for the</w:t>
      </w:r>
      <w:r w:rsidR="00704A81">
        <w:rPr>
          <w:sz w:val="22"/>
          <w:szCs w:val="20"/>
          <w:lang w:val="en-US"/>
        </w:rPr>
        <w:t xml:space="preserve"> implementation</w:t>
      </w:r>
      <w:r w:rsidR="00AB4FC4">
        <w:rPr>
          <w:sz w:val="22"/>
          <w:szCs w:val="20"/>
          <w:lang w:val="en-US"/>
        </w:rPr>
        <w:t xml:space="preserve"> action may be covered</w:t>
      </w:r>
      <w:r w:rsidR="001E5594">
        <w:rPr>
          <w:sz w:val="22"/>
          <w:szCs w:val="20"/>
          <w:lang w:val="en-US"/>
        </w:rPr>
        <w:t>, though they should ideally be part of the Partner’s Contribution.</w:t>
      </w:r>
      <w:r w:rsidR="002710DB">
        <w:rPr>
          <w:sz w:val="22"/>
          <w:szCs w:val="20"/>
          <w:lang w:val="en-US"/>
        </w:rPr>
        <w:t xml:space="preserve"> </w:t>
      </w:r>
    </w:p>
    <w:p w14:paraId="203452F7" w14:textId="3D59E65F" w:rsidR="00EB75F1" w:rsidRDefault="00B523BD" w:rsidP="000C2288">
      <w:pPr>
        <w:jc w:val="both"/>
        <w:rPr>
          <w:sz w:val="22"/>
          <w:szCs w:val="20"/>
          <w:lang w:val="en-US"/>
        </w:rPr>
      </w:pPr>
      <w:r>
        <w:rPr>
          <w:sz w:val="22"/>
          <w:szCs w:val="20"/>
          <w:lang w:val="en-US"/>
        </w:rPr>
        <w:t>The percentage of the procurement of goods, works or services (</w:t>
      </w:r>
      <w:r w:rsidR="00BC0A91">
        <w:rPr>
          <w:sz w:val="22"/>
          <w:szCs w:val="20"/>
          <w:lang w:val="en-US"/>
        </w:rPr>
        <w:t>i.e. sub-contracting)</w:t>
      </w:r>
      <w:r w:rsidR="00C87CC4">
        <w:rPr>
          <w:sz w:val="22"/>
          <w:szCs w:val="20"/>
          <w:lang w:val="en-US"/>
        </w:rPr>
        <w:t xml:space="preserve"> undertaken under the project cannot exceed 33% of the budget</w:t>
      </w:r>
      <w:r w:rsidR="00BC0A91">
        <w:rPr>
          <w:sz w:val="22"/>
          <w:szCs w:val="20"/>
          <w:lang w:val="en-US"/>
        </w:rPr>
        <w:t xml:space="preserve"> financed by UNESCO/GMDF</w:t>
      </w:r>
      <w:r w:rsidR="00C87CC4">
        <w:rPr>
          <w:sz w:val="22"/>
          <w:szCs w:val="20"/>
          <w:lang w:val="en-US"/>
        </w:rPr>
        <w:t>.</w:t>
      </w:r>
    </w:p>
    <w:p w14:paraId="05EFD508" w14:textId="4FB42350" w:rsidR="003E5817" w:rsidRPr="00BF7EDD" w:rsidRDefault="003E5817" w:rsidP="000C2288">
      <w:pPr>
        <w:jc w:val="both"/>
        <w:rPr>
          <w:sz w:val="22"/>
          <w:szCs w:val="20"/>
          <w:lang w:val="en-US"/>
        </w:rPr>
      </w:pPr>
      <w:r>
        <w:rPr>
          <w:sz w:val="22"/>
          <w:szCs w:val="20"/>
          <w:lang w:val="en-US"/>
        </w:rPr>
        <w:t xml:space="preserve">Applicants are encouraged to allocate funding to communication </w:t>
      </w:r>
      <w:r w:rsidR="00944CF6" w:rsidRPr="00944CF6">
        <w:rPr>
          <w:sz w:val="22"/>
          <w:szCs w:val="20"/>
          <w:lang w:val="en-US"/>
        </w:rPr>
        <w:t>in order to generate and ensure the visibility of the project among potential beneficiaries and relevant stakeholders. An amount equivalent to at least 5% of the project budget is recommended.</w:t>
      </w:r>
    </w:p>
    <w:p w14:paraId="61D1BC68" w14:textId="2C7D6AC9" w:rsidR="00EA44F6" w:rsidRPr="00EA44F6" w:rsidRDefault="00EA44F6" w:rsidP="000C2288">
      <w:pPr>
        <w:jc w:val="both"/>
        <w:rPr>
          <w:b/>
          <w:bCs/>
          <w:sz w:val="22"/>
          <w:szCs w:val="20"/>
          <w:lang w:val="en-US"/>
        </w:rPr>
      </w:pPr>
      <w:r>
        <w:rPr>
          <w:b/>
          <w:bCs/>
          <w:sz w:val="22"/>
          <w:szCs w:val="20"/>
          <w:lang w:val="en-US"/>
        </w:rPr>
        <w:t>Ineligible Costs</w:t>
      </w:r>
    </w:p>
    <w:p w14:paraId="7A37ADC2" w14:textId="3AD5E4EA" w:rsidR="008005B9" w:rsidRDefault="008005B9" w:rsidP="000C2288">
      <w:pPr>
        <w:jc w:val="both"/>
        <w:rPr>
          <w:sz w:val="22"/>
          <w:szCs w:val="20"/>
          <w:lang w:val="en-US"/>
        </w:rPr>
      </w:pPr>
      <w:r>
        <w:rPr>
          <w:sz w:val="22"/>
          <w:szCs w:val="20"/>
          <w:lang w:val="en-US"/>
        </w:rPr>
        <w:t xml:space="preserve">Costs that are considered </w:t>
      </w:r>
      <w:r w:rsidRPr="00EA44F6">
        <w:rPr>
          <w:sz w:val="22"/>
          <w:szCs w:val="20"/>
          <w:lang w:val="en-US"/>
        </w:rPr>
        <w:t>ineligible</w:t>
      </w:r>
      <w:r>
        <w:rPr>
          <w:sz w:val="22"/>
          <w:szCs w:val="20"/>
          <w:lang w:val="en-US"/>
        </w:rPr>
        <w:t xml:space="preserve"> under this Call</w:t>
      </w:r>
      <w:r w:rsidR="00EF124D">
        <w:rPr>
          <w:sz w:val="22"/>
          <w:szCs w:val="20"/>
          <w:lang w:val="en-US"/>
        </w:rPr>
        <w:t xml:space="preserve"> include</w:t>
      </w:r>
      <w:r>
        <w:rPr>
          <w:sz w:val="22"/>
          <w:szCs w:val="20"/>
          <w:lang w:val="en-US"/>
        </w:rPr>
        <w:t xml:space="preserve">, </w:t>
      </w:r>
      <w:r w:rsidR="00EA44F6">
        <w:rPr>
          <w:sz w:val="22"/>
          <w:szCs w:val="20"/>
          <w:lang w:val="en-US"/>
        </w:rPr>
        <w:t>but are not limited to the following:</w:t>
      </w:r>
    </w:p>
    <w:p w14:paraId="204EB014" w14:textId="05E5428C" w:rsidR="005A5E75" w:rsidRDefault="000A28D3" w:rsidP="005A5E75">
      <w:pPr>
        <w:pStyle w:val="ListParagraph"/>
        <w:numPr>
          <w:ilvl w:val="0"/>
          <w:numId w:val="20"/>
        </w:numPr>
        <w:jc w:val="both"/>
        <w:rPr>
          <w:sz w:val="22"/>
          <w:szCs w:val="20"/>
          <w:lang w:val="en-US"/>
        </w:rPr>
      </w:pPr>
      <w:r>
        <w:rPr>
          <w:sz w:val="22"/>
          <w:szCs w:val="20"/>
          <w:lang w:val="en-US"/>
        </w:rPr>
        <w:t>Core funding or recurrent costs of an organization</w:t>
      </w:r>
      <w:r w:rsidR="004634E0">
        <w:rPr>
          <w:sz w:val="22"/>
          <w:szCs w:val="20"/>
          <w:lang w:val="en-US"/>
        </w:rPr>
        <w:t xml:space="preserve"> (fixed staff salaries, rent, utilities, etc.);</w:t>
      </w:r>
      <w:r w:rsidR="008800C2" w:rsidRPr="00EF124D">
        <w:rPr>
          <w:sz w:val="22"/>
          <w:szCs w:val="20"/>
          <w:lang w:val="en-US"/>
        </w:rPr>
        <w:t xml:space="preserve"> </w:t>
      </w:r>
    </w:p>
    <w:p w14:paraId="56DF170B" w14:textId="07AFB92E" w:rsidR="00CE57C5" w:rsidRDefault="00CE57C5" w:rsidP="005A5E75">
      <w:pPr>
        <w:pStyle w:val="ListParagraph"/>
        <w:numPr>
          <w:ilvl w:val="0"/>
          <w:numId w:val="20"/>
        </w:numPr>
        <w:jc w:val="both"/>
        <w:rPr>
          <w:sz w:val="22"/>
          <w:szCs w:val="20"/>
          <w:lang w:val="en-US"/>
        </w:rPr>
      </w:pPr>
      <w:r>
        <w:rPr>
          <w:sz w:val="22"/>
          <w:szCs w:val="20"/>
          <w:lang w:val="en-US"/>
        </w:rPr>
        <w:t>Indirect, overhead or administrative costs;</w:t>
      </w:r>
    </w:p>
    <w:p w14:paraId="0277F90D" w14:textId="7C2939D0" w:rsidR="00352819" w:rsidRDefault="00352819" w:rsidP="005A5E75">
      <w:pPr>
        <w:pStyle w:val="ListParagraph"/>
        <w:numPr>
          <w:ilvl w:val="0"/>
          <w:numId w:val="20"/>
        </w:numPr>
        <w:jc w:val="both"/>
        <w:rPr>
          <w:sz w:val="22"/>
          <w:szCs w:val="20"/>
          <w:lang w:val="en-US"/>
        </w:rPr>
      </w:pPr>
      <w:r>
        <w:rPr>
          <w:sz w:val="22"/>
          <w:szCs w:val="20"/>
          <w:lang w:val="en-US"/>
        </w:rPr>
        <w:t>Audit costs;</w:t>
      </w:r>
    </w:p>
    <w:p w14:paraId="6FC4A0E3" w14:textId="7DF7D1DF" w:rsidR="00332046" w:rsidRDefault="00332046" w:rsidP="005A5E75">
      <w:pPr>
        <w:pStyle w:val="ListParagraph"/>
        <w:numPr>
          <w:ilvl w:val="0"/>
          <w:numId w:val="20"/>
        </w:numPr>
        <w:jc w:val="both"/>
        <w:rPr>
          <w:sz w:val="22"/>
          <w:szCs w:val="20"/>
          <w:lang w:val="en-US"/>
        </w:rPr>
      </w:pPr>
      <w:r>
        <w:rPr>
          <w:sz w:val="22"/>
          <w:szCs w:val="20"/>
          <w:lang w:val="en-US"/>
        </w:rPr>
        <w:t>Bank fees</w:t>
      </w:r>
      <w:r w:rsidR="00383708">
        <w:rPr>
          <w:rStyle w:val="FootnoteReference"/>
          <w:sz w:val="22"/>
          <w:szCs w:val="20"/>
          <w:lang w:val="en-US"/>
        </w:rPr>
        <w:footnoteReference w:id="5"/>
      </w:r>
      <w:r>
        <w:rPr>
          <w:sz w:val="22"/>
          <w:szCs w:val="20"/>
          <w:lang w:val="en-US"/>
        </w:rPr>
        <w:t>;</w:t>
      </w:r>
    </w:p>
    <w:p w14:paraId="72954CCB" w14:textId="4CF75806" w:rsidR="007972D5" w:rsidRDefault="007972D5" w:rsidP="005A5E75">
      <w:pPr>
        <w:pStyle w:val="ListParagraph"/>
        <w:numPr>
          <w:ilvl w:val="0"/>
          <w:numId w:val="20"/>
        </w:numPr>
        <w:jc w:val="both"/>
        <w:rPr>
          <w:sz w:val="22"/>
          <w:szCs w:val="20"/>
          <w:lang w:val="en-US"/>
        </w:rPr>
      </w:pPr>
      <w:r>
        <w:rPr>
          <w:sz w:val="22"/>
          <w:szCs w:val="20"/>
          <w:lang w:val="en-US"/>
        </w:rPr>
        <w:t>Insurance costs;</w:t>
      </w:r>
    </w:p>
    <w:p w14:paraId="37915328" w14:textId="74D2EFDB" w:rsidR="00E87B7E" w:rsidRPr="005A5E75" w:rsidRDefault="00E87B7E" w:rsidP="005A5E75">
      <w:pPr>
        <w:pStyle w:val="ListParagraph"/>
        <w:numPr>
          <w:ilvl w:val="0"/>
          <w:numId w:val="20"/>
        </w:numPr>
        <w:jc w:val="both"/>
        <w:rPr>
          <w:sz w:val="22"/>
          <w:szCs w:val="20"/>
          <w:lang w:val="en-US"/>
        </w:rPr>
      </w:pPr>
      <w:r>
        <w:rPr>
          <w:sz w:val="22"/>
          <w:szCs w:val="20"/>
          <w:lang w:val="en-US"/>
        </w:rPr>
        <w:t>Purchase of equipment, computers, printers, or any other electric device;</w:t>
      </w:r>
    </w:p>
    <w:p w14:paraId="7A3243CE" w14:textId="293CECF0" w:rsidR="00D37AC2" w:rsidRDefault="00A624FE" w:rsidP="000C2288">
      <w:pPr>
        <w:pStyle w:val="ListParagraph"/>
        <w:numPr>
          <w:ilvl w:val="0"/>
          <w:numId w:val="20"/>
        </w:numPr>
        <w:jc w:val="both"/>
        <w:rPr>
          <w:sz w:val="22"/>
          <w:szCs w:val="20"/>
          <w:lang w:val="en-US"/>
        </w:rPr>
      </w:pPr>
      <w:r>
        <w:rPr>
          <w:sz w:val="22"/>
          <w:szCs w:val="20"/>
          <w:lang w:val="en-US"/>
        </w:rPr>
        <w:t xml:space="preserve">Costs incurred prior to the date of the corresponding </w:t>
      </w:r>
      <w:r w:rsidR="0065794C">
        <w:rPr>
          <w:sz w:val="22"/>
          <w:szCs w:val="20"/>
          <w:lang w:val="en-US"/>
        </w:rPr>
        <w:t>Implementation Partners’ Agreement</w:t>
      </w:r>
      <w:r w:rsidR="005F1B31">
        <w:rPr>
          <w:sz w:val="22"/>
          <w:szCs w:val="20"/>
          <w:lang w:val="en-US"/>
        </w:rPr>
        <w:t>, or after it expires;</w:t>
      </w:r>
    </w:p>
    <w:p w14:paraId="46E07535" w14:textId="2146EA74" w:rsidR="00B83F54" w:rsidRPr="0087440F" w:rsidRDefault="008800C2" w:rsidP="00B83F54">
      <w:pPr>
        <w:pStyle w:val="ListParagraph"/>
        <w:numPr>
          <w:ilvl w:val="0"/>
          <w:numId w:val="20"/>
        </w:numPr>
        <w:jc w:val="both"/>
        <w:rPr>
          <w:sz w:val="22"/>
          <w:szCs w:val="20"/>
          <w:lang w:val="en-US"/>
        </w:rPr>
      </w:pPr>
      <w:r w:rsidRPr="00EF124D">
        <w:rPr>
          <w:sz w:val="22"/>
          <w:szCs w:val="20"/>
          <w:lang w:val="en-US"/>
        </w:rPr>
        <w:t xml:space="preserve">Costs deemed as non-essential to obtain expected results. </w:t>
      </w:r>
    </w:p>
    <w:tbl>
      <w:tblPr>
        <w:tblStyle w:val="TableGrid"/>
        <w:tblW w:w="0" w:type="auto"/>
        <w:tblLook w:val="04A0" w:firstRow="1" w:lastRow="0" w:firstColumn="1" w:lastColumn="0" w:noHBand="0" w:noVBand="1"/>
      </w:tblPr>
      <w:tblGrid>
        <w:gridCol w:w="9062"/>
      </w:tblGrid>
      <w:tr w:rsidR="00F55599" w:rsidRPr="0032001A" w14:paraId="173F5D4F" w14:textId="77777777" w:rsidTr="00F55599">
        <w:tc>
          <w:tcPr>
            <w:tcW w:w="9062" w:type="dxa"/>
          </w:tcPr>
          <w:p w14:paraId="28631CEF" w14:textId="77777777" w:rsidR="00F55599" w:rsidRPr="00F55599" w:rsidRDefault="00F55599" w:rsidP="00F55599">
            <w:pPr>
              <w:spacing w:line="278" w:lineRule="auto"/>
              <w:jc w:val="both"/>
              <w:rPr>
                <w:rFonts w:eastAsiaTheme="minorEastAsia"/>
                <w:kern w:val="2"/>
                <w:sz w:val="12"/>
                <w:szCs w:val="12"/>
                <w:lang w:eastAsia="zh-CN"/>
                <w14:ligatures w14:val="standardContextual"/>
              </w:rPr>
            </w:pPr>
          </w:p>
          <w:p w14:paraId="40EB2035" w14:textId="25662AD1" w:rsidR="00F55599" w:rsidRDefault="00F55599" w:rsidP="00F55599">
            <w:pPr>
              <w:spacing w:after="160" w:line="278" w:lineRule="auto"/>
              <w:jc w:val="both"/>
              <w:rPr>
                <w:szCs w:val="20"/>
              </w:rPr>
            </w:pPr>
            <w:r w:rsidRPr="00F55599">
              <w:rPr>
                <w:rFonts w:eastAsiaTheme="minorEastAsia"/>
                <w:kern w:val="2"/>
                <w:lang w:eastAsia="zh-CN"/>
                <w14:ligatures w14:val="standardContextual"/>
              </w:rPr>
              <w:t xml:space="preserve">The proposed budget will be the basis of the funding agreement if a grant is awarded. Nevertheless, the budget proposed by the candidate partner may undergo the streamlining or other adjustments requested by UNESCO following the preselection of a partnership proposal. As such, the preselection of a partnership proposal does not necessarily entail the approval of the entire proposed budget. UNESCO reserves the right to negotiate the budget with preselected partners prior to the signature of the </w:t>
            </w:r>
            <w:r w:rsidR="0065794C">
              <w:rPr>
                <w:rFonts w:eastAsiaTheme="minorEastAsia"/>
                <w:kern w:val="2"/>
                <w:lang w:eastAsia="zh-CN"/>
                <w14:ligatures w14:val="standardContextual"/>
              </w:rPr>
              <w:t>Implementation Partners’ Agreement</w:t>
            </w:r>
            <w:r w:rsidRPr="00F55599">
              <w:rPr>
                <w:rFonts w:eastAsiaTheme="minorEastAsia"/>
                <w:kern w:val="2"/>
                <w:lang w:eastAsia="zh-CN"/>
                <w14:ligatures w14:val="standardContextual"/>
              </w:rPr>
              <w:t>, to ensure value for money.</w:t>
            </w:r>
          </w:p>
        </w:tc>
      </w:tr>
    </w:tbl>
    <w:p w14:paraId="480C1464" w14:textId="77777777" w:rsidR="00F55599" w:rsidRDefault="00F55599" w:rsidP="003434C1">
      <w:pPr>
        <w:spacing w:after="0"/>
        <w:jc w:val="both"/>
        <w:rPr>
          <w:sz w:val="22"/>
          <w:szCs w:val="20"/>
          <w:lang w:val="en-US"/>
        </w:rPr>
      </w:pPr>
    </w:p>
    <w:p w14:paraId="75D7E66B" w14:textId="77777777" w:rsidR="003434C1" w:rsidRPr="003434C1" w:rsidRDefault="003434C1" w:rsidP="000C2288">
      <w:pPr>
        <w:jc w:val="both"/>
        <w:rPr>
          <w:b/>
          <w:bCs/>
          <w:sz w:val="22"/>
          <w:szCs w:val="20"/>
          <w:lang w:val="en-US"/>
        </w:rPr>
      </w:pPr>
      <w:r w:rsidRPr="003434C1">
        <w:rPr>
          <w:b/>
          <w:bCs/>
          <w:sz w:val="22"/>
          <w:szCs w:val="20"/>
          <w:lang w:val="en-US"/>
        </w:rPr>
        <w:t xml:space="preserve">Co-Financing by Other Sources of External Funding </w:t>
      </w:r>
    </w:p>
    <w:p w14:paraId="53B11655" w14:textId="6BAB56D6" w:rsidR="003434C1" w:rsidRDefault="003434C1" w:rsidP="000C2288">
      <w:pPr>
        <w:jc w:val="both"/>
        <w:rPr>
          <w:sz w:val="22"/>
          <w:szCs w:val="20"/>
          <w:lang w:val="en-US"/>
        </w:rPr>
      </w:pPr>
      <w:r w:rsidRPr="003434C1">
        <w:rPr>
          <w:sz w:val="22"/>
          <w:szCs w:val="20"/>
          <w:lang w:val="en-US"/>
        </w:rPr>
        <w:t>In addition to the grant requested under the GMDF, the action proposed in the partnership prop</w:t>
      </w:r>
      <w:r w:rsidR="006B0CA0">
        <w:rPr>
          <w:sz w:val="22"/>
          <w:szCs w:val="20"/>
          <w:lang w:val="en-US"/>
        </w:rPr>
        <w:t>osal may be partially supported by financial contributions from third parties.</w:t>
      </w:r>
    </w:p>
    <w:p w14:paraId="14A79AFE" w14:textId="388F1527" w:rsidR="00915EFE" w:rsidRPr="008F0819" w:rsidRDefault="00915EFE" w:rsidP="00915EFE">
      <w:pPr>
        <w:shd w:val="clear" w:color="auto" w:fill="215E99" w:themeFill="text2" w:themeFillTint="BF"/>
        <w:tabs>
          <w:tab w:val="center" w:pos="4536"/>
          <w:tab w:val="left" w:pos="7095"/>
        </w:tabs>
        <w:spacing w:before="240" w:after="100" w:afterAutospacing="1"/>
        <w:jc w:val="both"/>
        <w:outlineLvl w:val="2"/>
        <w:rPr>
          <w:rFonts w:cs="Arial"/>
          <w:b/>
          <w:bCs/>
          <w:color w:val="FFFFFF" w:themeColor="background1"/>
          <w:sz w:val="44"/>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07654">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w:t>
      </w:r>
      <w:r w:rsidR="008C7800">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w:t>
      </w:r>
      <w:r w:rsidRPr="00207654">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C7800">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INDICATIVE BUDGET AVAILABLE FOR THIS CALL</w:t>
      </w:r>
    </w:p>
    <w:p w14:paraId="449D39C7" w14:textId="249876A2" w:rsidR="003434C1" w:rsidRPr="00A80FAF" w:rsidRDefault="008C7800" w:rsidP="00915EFE">
      <w:pPr>
        <w:jc w:val="both"/>
        <w:rPr>
          <w:sz w:val="22"/>
          <w:szCs w:val="20"/>
          <w:lang w:val="en-US"/>
        </w:rPr>
      </w:pPr>
      <w:r>
        <w:rPr>
          <w:sz w:val="22"/>
          <w:szCs w:val="20"/>
          <w:lang w:val="en-US"/>
        </w:rPr>
        <w:t xml:space="preserve">The total amount earmarked for the co-financing of projects under this Call is estimated at </w:t>
      </w:r>
      <w:r>
        <w:rPr>
          <w:b/>
          <w:bCs/>
          <w:sz w:val="22"/>
          <w:szCs w:val="20"/>
          <w:lang w:val="en-US"/>
        </w:rPr>
        <w:t xml:space="preserve">USD </w:t>
      </w:r>
      <w:r w:rsidR="00BE35B0">
        <w:rPr>
          <w:b/>
          <w:bCs/>
          <w:sz w:val="22"/>
          <w:szCs w:val="20"/>
          <w:lang w:val="en-US"/>
        </w:rPr>
        <w:t xml:space="preserve">350 </w:t>
      </w:r>
      <w:r>
        <w:rPr>
          <w:b/>
          <w:bCs/>
          <w:sz w:val="22"/>
          <w:szCs w:val="20"/>
          <w:lang w:val="en-US"/>
        </w:rPr>
        <w:t>000</w:t>
      </w:r>
      <w:r w:rsidR="004D4F04">
        <w:rPr>
          <w:b/>
          <w:bCs/>
          <w:sz w:val="22"/>
          <w:szCs w:val="20"/>
          <w:lang w:val="en-US"/>
        </w:rPr>
        <w:t xml:space="preserve"> </w:t>
      </w:r>
      <w:r w:rsidR="004D4F04">
        <w:rPr>
          <w:sz w:val="22"/>
          <w:szCs w:val="20"/>
          <w:lang w:val="en-US"/>
        </w:rPr>
        <w:t>at the time of the publication of this Call.</w:t>
      </w:r>
      <w:r>
        <w:rPr>
          <w:b/>
          <w:bCs/>
          <w:sz w:val="22"/>
          <w:szCs w:val="20"/>
          <w:lang w:val="en-US"/>
        </w:rPr>
        <w:t xml:space="preserve"> </w:t>
      </w:r>
      <w:r w:rsidR="00A80FAF">
        <w:rPr>
          <w:sz w:val="22"/>
          <w:szCs w:val="20"/>
          <w:lang w:val="en-US"/>
        </w:rPr>
        <w:t xml:space="preserve">This amount will be distributed among the proposals with the highest evaluation score (estimated number of grants: </w:t>
      </w:r>
      <w:r w:rsidR="000315C1">
        <w:rPr>
          <w:sz w:val="22"/>
          <w:szCs w:val="20"/>
          <w:lang w:val="en-US"/>
        </w:rPr>
        <w:t>7</w:t>
      </w:r>
      <w:r w:rsidR="00A80FAF">
        <w:rPr>
          <w:sz w:val="22"/>
          <w:szCs w:val="20"/>
          <w:lang w:val="en-US"/>
        </w:rPr>
        <w:t>-10).</w:t>
      </w:r>
    </w:p>
    <w:p w14:paraId="1C65F701" w14:textId="6F22BD81" w:rsidR="00A81733" w:rsidRDefault="0028720D" w:rsidP="00A560FA">
      <w:pPr>
        <w:jc w:val="both"/>
        <w:rPr>
          <w:sz w:val="22"/>
          <w:szCs w:val="20"/>
          <w:lang w:val="en-US"/>
        </w:rPr>
      </w:pPr>
      <w:r>
        <w:rPr>
          <w:sz w:val="22"/>
          <w:szCs w:val="20"/>
          <w:lang w:val="en-US"/>
        </w:rPr>
        <w:lastRenderedPageBreak/>
        <w:t xml:space="preserve">The </w:t>
      </w:r>
      <w:r w:rsidR="00765ECB">
        <w:rPr>
          <w:sz w:val="22"/>
          <w:szCs w:val="20"/>
          <w:lang w:val="en-US"/>
        </w:rPr>
        <w:t xml:space="preserve">size of the grants </w:t>
      </w:r>
      <w:r w:rsidR="00BC5788">
        <w:rPr>
          <w:sz w:val="22"/>
          <w:szCs w:val="20"/>
          <w:lang w:val="en-US"/>
        </w:rPr>
        <w:t xml:space="preserve">that will be distributed under this Call </w:t>
      </w:r>
      <w:r w:rsidR="00FD3E1C">
        <w:rPr>
          <w:sz w:val="22"/>
          <w:szCs w:val="20"/>
          <w:lang w:val="en-US"/>
        </w:rPr>
        <w:t>will range from a minimum</w:t>
      </w:r>
      <w:r w:rsidR="00900C89">
        <w:rPr>
          <w:sz w:val="22"/>
          <w:szCs w:val="20"/>
          <w:lang w:val="en-US"/>
        </w:rPr>
        <w:t xml:space="preserve"> </w:t>
      </w:r>
      <w:r w:rsidR="00900C89" w:rsidRPr="00D53994">
        <w:rPr>
          <w:b/>
          <w:bCs/>
          <w:sz w:val="22"/>
          <w:szCs w:val="20"/>
          <w:lang w:val="en-US"/>
        </w:rPr>
        <w:t xml:space="preserve">USD </w:t>
      </w:r>
      <w:r w:rsidR="00FD3E1C">
        <w:rPr>
          <w:b/>
          <w:bCs/>
          <w:sz w:val="22"/>
          <w:szCs w:val="20"/>
          <w:lang w:val="en-US"/>
        </w:rPr>
        <w:t>1</w:t>
      </w:r>
      <w:r w:rsidR="004B4EB6" w:rsidRPr="00D53994">
        <w:rPr>
          <w:b/>
          <w:bCs/>
          <w:sz w:val="22"/>
          <w:szCs w:val="20"/>
          <w:lang w:val="en-US"/>
        </w:rPr>
        <w:t xml:space="preserve">5 000 </w:t>
      </w:r>
      <w:r w:rsidR="002C0043">
        <w:rPr>
          <w:b/>
          <w:bCs/>
          <w:sz w:val="22"/>
          <w:szCs w:val="20"/>
          <w:lang w:val="en-US"/>
        </w:rPr>
        <w:t>to a maximum</w:t>
      </w:r>
      <w:r w:rsidR="004B4EB6">
        <w:rPr>
          <w:sz w:val="22"/>
          <w:szCs w:val="20"/>
          <w:lang w:val="en-US"/>
        </w:rPr>
        <w:t xml:space="preserve"> </w:t>
      </w:r>
      <w:r w:rsidR="004B4EB6" w:rsidRPr="00D53994">
        <w:rPr>
          <w:b/>
          <w:bCs/>
          <w:sz w:val="22"/>
          <w:szCs w:val="20"/>
          <w:lang w:val="en-US"/>
        </w:rPr>
        <w:t>USD 50 000</w:t>
      </w:r>
      <w:r w:rsidR="004B4EB6">
        <w:rPr>
          <w:sz w:val="22"/>
          <w:szCs w:val="20"/>
          <w:lang w:val="en-US"/>
        </w:rPr>
        <w:t>.</w:t>
      </w:r>
    </w:p>
    <w:p w14:paraId="3AD6952B" w14:textId="163D8DDF" w:rsidR="00D53994" w:rsidRDefault="00D53994" w:rsidP="00A560FA">
      <w:pPr>
        <w:jc w:val="both"/>
        <w:rPr>
          <w:sz w:val="22"/>
          <w:szCs w:val="20"/>
          <w:lang w:val="en-US"/>
        </w:rPr>
      </w:pPr>
      <w:r w:rsidRPr="00D53994">
        <w:rPr>
          <w:sz w:val="22"/>
          <w:szCs w:val="20"/>
          <w:lang w:val="en-US"/>
        </w:rPr>
        <w:t>The amount requested by candidate partners should be commensurate with their entities’ proven administrative and financial management capabilities.</w:t>
      </w:r>
    </w:p>
    <w:p w14:paraId="0FFDB1AD" w14:textId="77777777" w:rsidR="00447811" w:rsidRDefault="00447811" w:rsidP="00A560FA">
      <w:pPr>
        <w:jc w:val="both"/>
        <w:rPr>
          <w:sz w:val="22"/>
          <w:szCs w:val="20"/>
          <w:lang w:val="en-US"/>
        </w:rPr>
      </w:pPr>
      <w:r w:rsidRPr="00447811">
        <w:rPr>
          <w:sz w:val="22"/>
          <w:szCs w:val="20"/>
          <w:lang w:val="en-US"/>
        </w:rPr>
        <w:t xml:space="preserve">UNESCO reserves the right not to distribute all the funds available, as well as the right to grant the total or only part of the funding requested by candidate partners. </w:t>
      </w:r>
    </w:p>
    <w:p w14:paraId="1F143FED" w14:textId="77777777" w:rsidR="00447811" w:rsidRDefault="00447811" w:rsidP="00A560FA">
      <w:pPr>
        <w:jc w:val="both"/>
        <w:rPr>
          <w:sz w:val="22"/>
          <w:szCs w:val="20"/>
          <w:lang w:val="en-US"/>
        </w:rPr>
      </w:pPr>
      <w:r w:rsidRPr="00447811">
        <w:rPr>
          <w:sz w:val="22"/>
          <w:szCs w:val="20"/>
          <w:lang w:val="en-US"/>
        </w:rPr>
        <w:t xml:space="preserve">Please note that the award of a grant does not establish an entitlement for subsequent years. </w:t>
      </w:r>
    </w:p>
    <w:p w14:paraId="01EDE067" w14:textId="77777777" w:rsidR="00447811" w:rsidRDefault="00447811" w:rsidP="00A560FA">
      <w:pPr>
        <w:jc w:val="both"/>
        <w:rPr>
          <w:sz w:val="22"/>
          <w:szCs w:val="20"/>
          <w:lang w:val="en-US"/>
        </w:rPr>
      </w:pPr>
      <w:r w:rsidRPr="00447811">
        <w:rPr>
          <w:sz w:val="22"/>
          <w:szCs w:val="20"/>
          <w:lang w:val="en-US"/>
        </w:rPr>
        <w:t xml:space="preserve">No grant maybe awarded retroactively for actions already completed. </w:t>
      </w:r>
    </w:p>
    <w:p w14:paraId="60F1FB63" w14:textId="77777777" w:rsidR="00447811" w:rsidRDefault="00447811" w:rsidP="00A560FA">
      <w:pPr>
        <w:jc w:val="both"/>
        <w:rPr>
          <w:sz w:val="22"/>
          <w:szCs w:val="20"/>
          <w:lang w:val="en-US"/>
        </w:rPr>
      </w:pPr>
      <w:r w:rsidRPr="00447811">
        <w:rPr>
          <w:sz w:val="22"/>
          <w:szCs w:val="20"/>
          <w:lang w:val="en-US"/>
        </w:rPr>
        <w:t xml:space="preserve">Grant funds may only be spent on the activities defined in the corresponding Implementation Partners Agreement (see “Contracting Process and Project Implementation” below). </w:t>
      </w:r>
    </w:p>
    <w:p w14:paraId="28B6D00C" w14:textId="38E56281" w:rsidR="006F4876" w:rsidRPr="00E206EF" w:rsidRDefault="00447811" w:rsidP="00A560FA">
      <w:pPr>
        <w:jc w:val="both"/>
        <w:rPr>
          <w:sz w:val="22"/>
          <w:szCs w:val="22"/>
          <w:lang w:val="en-US"/>
        </w:rPr>
      </w:pPr>
      <w:r w:rsidRPr="00447811">
        <w:rPr>
          <w:sz w:val="22"/>
          <w:szCs w:val="20"/>
          <w:lang w:val="en-US"/>
        </w:rPr>
        <w:t>The GMDF will not provide funding for activities that are not directly in line with Output 2, Output 3, and/or Output 4 of the Fund</w:t>
      </w:r>
      <w:r>
        <w:rPr>
          <w:sz w:val="22"/>
          <w:szCs w:val="20"/>
          <w:lang w:val="en-US"/>
        </w:rPr>
        <w:t xml:space="preserve">, or which do not </w:t>
      </w:r>
      <w:r w:rsidR="006F4876">
        <w:rPr>
          <w:sz w:val="22"/>
          <w:szCs w:val="20"/>
          <w:lang w:val="en-US"/>
        </w:rPr>
        <w:t>respond to the</w:t>
      </w:r>
      <w:r w:rsidR="006F4876">
        <w:rPr>
          <w:sz w:val="22"/>
          <w:szCs w:val="22"/>
          <w:lang w:val="en-US"/>
        </w:rPr>
        <w:t xml:space="preserve"> </w:t>
      </w:r>
      <w:r w:rsidR="006F4876" w:rsidRPr="006F4876">
        <w:rPr>
          <w:sz w:val="22"/>
          <w:szCs w:val="22"/>
          <w:lang w:val="en-US"/>
        </w:rPr>
        <w:t>thematic focus of this Call for Partnerships (bolstering the legal protection of environmental journalists and/or reducing impunity related to cases of violence, threats and attacks against them).</w:t>
      </w:r>
    </w:p>
    <w:p w14:paraId="29F6F805" w14:textId="188AB4FC" w:rsidR="00E206EF" w:rsidRPr="008F0819" w:rsidRDefault="00E206EF" w:rsidP="00E206EF">
      <w:pPr>
        <w:shd w:val="clear" w:color="auto" w:fill="215E99" w:themeFill="text2" w:themeFillTint="BF"/>
        <w:tabs>
          <w:tab w:val="center" w:pos="4536"/>
          <w:tab w:val="left" w:pos="7095"/>
        </w:tabs>
        <w:spacing w:before="240" w:after="100" w:afterAutospacing="1"/>
        <w:jc w:val="both"/>
        <w:outlineLvl w:val="2"/>
        <w:rPr>
          <w:rFonts w:cs="Arial"/>
          <w:b/>
          <w:bCs/>
          <w:color w:val="FFFFFF" w:themeColor="background1"/>
          <w:sz w:val="44"/>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w:t>
      </w:r>
      <w:r w:rsidRPr="00207654">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EVALUATION AND SELECTION PROCESS</w:t>
      </w:r>
    </w:p>
    <w:p w14:paraId="188FC424" w14:textId="22CCE44B" w:rsidR="00572EB2" w:rsidRPr="000E3AF7" w:rsidRDefault="00572EB2" w:rsidP="00572EB2">
      <w:pPr>
        <w:jc w:val="both"/>
        <w:rPr>
          <w:sz w:val="22"/>
          <w:szCs w:val="22"/>
          <w:lang w:val="en-US"/>
        </w:rPr>
      </w:pPr>
      <w:r w:rsidRPr="00572EB2">
        <w:rPr>
          <w:sz w:val="22"/>
          <w:szCs w:val="22"/>
          <w:lang w:val="en-US"/>
        </w:rPr>
        <w:t xml:space="preserve">The deadline for submissions under this Call for Partnerships is </w:t>
      </w:r>
      <w:r w:rsidR="000E3AF7">
        <w:rPr>
          <w:b/>
          <w:bCs/>
          <w:sz w:val="22"/>
          <w:szCs w:val="22"/>
          <w:lang w:val="en-US"/>
        </w:rPr>
        <w:t xml:space="preserve">Friday </w:t>
      </w:r>
      <w:r w:rsidR="00C21F7C">
        <w:rPr>
          <w:b/>
          <w:bCs/>
          <w:sz w:val="22"/>
          <w:szCs w:val="22"/>
          <w:lang w:val="en-US"/>
        </w:rPr>
        <w:t xml:space="preserve">18 </w:t>
      </w:r>
      <w:r w:rsidR="000E3AF7">
        <w:rPr>
          <w:b/>
          <w:bCs/>
          <w:sz w:val="22"/>
          <w:szCs w:val="22"/>
          <w:lang w:val="en-US"/>
        </w:rPr>
        <w:t>October 2024 at 23:59 GMT+2</w:t>
      </w:r>
      <w:r w:rsidR="000E3AF7">
        <w:rPr>
          <w:sz w:val="22"/>
          <w:szCs w:val="22"/>
          <w:lang w:val="en-US"/>
        </w:rPr>
        <w:t>.</w:t>
      </w:r>
    </w:p>
    <w:p w14:paraId="5E6446DC" w14:textId="77777777" w:rsidR="00572EB2" w:rsidRPr="00572EB2" w:rsidRDefault="00572EB2" w:rsidP="00572EB2">
      <w:pPr>
        <w:jc w:val="both"/>
        <w:rPr>
          <w:sz w:val="22"/>
          <w:szCs w:val="22"/>
          <w:lang w:val="en-US"/>
        </w:rPr>
      </w:pPr>
      <w:r w:rsidRPr="00572EB2">
        <w:rPr>
          <w:sz w:val="22"/>
          <w:szCs w:val="22"/>
          <w:lang w:val="en-US"/>
        </w:rPr>
        <w:t>In order to assess the partnership proposals submitted under this Call, UNESCO shall apply the following procedure:</w:t>
      </w:r>
    </w:p>
    <w:p w14:paraId="47FF3F16" w14:textId="77777777" w:rsidR="00572EB2" w:rsidRPr="00572EB2" w:rsidRDefault="00572EB2" w:rsidP="00572EB2">
      <w:pPr>
        <w:jc w:val="both"/>
        <w:rPr>
          <w:b/>
          <w:bCs/>
          <w:i/>
          <w:iCs/>
          <w:sz w:val="22"/>
          <w:szCs w:val="22"/>
        </w:rPr>
      </w:pPr>
      <w:r w:rsidRPr="00572EB2">
        <w:rPr>
          <w:b/>
          <w:bCs/>
          <w:i/>
          <w:iCs/>
          <w:sz w:val="22"/>
          <w:szCs w:val="22"/>
        </w:rPr>
        <w:t>Preliminary Assessment</w:t>
      </w:r>
    </w:p>
    <w:p w14:paraId="5053DAF6" w14:textId="3D85B2AF" w:rsidR="00572EB2" w:rsidRPr="000E3AF7" w:rsidRDefault="00572EB2" w:rsidP="000E3AF7">
      <w:pPr>
        <w:pStyle w:val="ListParagraph"/>
        <w:numPr>
          <w:ilvl w:val="0"/>
          <w:numId w:val="21"/>
        </w:numPr>
        <w:spacing w:line="259" w:lineRule="auto"/>
        <w:jc w:val="both"/>
        <w:rPr>
          <w:sz w:val="22"/>
          <w:szCs w:val="22"/>
          <w:lang w:val="en-US"/>
        </w:rPr>
      </w:pPr>
      <w:r w:rsidRPr="00572EB2">
        <w:rPr>
          <w:sz w:val="22"/>
          <w:szCs w:val="22"/>
          <w:u w:val="single"/>
          <w:lang w:val="en-US"/>
        </w:rPr>
        <w:t>Admissibility Check</w:t>
      </w:r>
      <w:r w:rsidRPr="00572EB2">
        <w:rPr>
          <w:sz w:val="22"/>
          <w:szCs w:val="22"/>
          <w:lang w:val="en-US"/>
        </w:rPr>
        <w:t xml:space="preserve"> (see Admissibility Requirements under section III above).</w:t>
      </w:r>
    </w:p>
    <w:p w14:paraId="3C040096" w14:textId="77777777" w:rsidR="00572EB2" w:rsidRPr="00572EB2" w:rsidRDefault="00572EB2" w:rsidP="00572EB2">
      <w:pPr>
        <w:pStyle w:val="ListParagraph"/>
        <w:numPr>
          <w:ilvl w:val="0"/>
          <w:numId w:val="21"/>
        </w:numPr>
        <w:spacing w:line="259" w:lineRule="auto"/>
        <w:jc w:val="both"/>
        <w:rPr>
          <w:sz w:val="22"/>
          <w:szCs w:val="22"/>
          <w:lang w:val="en-US"/>
        </w:rPr>
      </w:pPr>
      <w:r w:rsidRPr="00572EB2">
        <w:rPr>
          <w:sz w:val="22"/>
          <w:szCs w:val="22"/>
          <w:u w:val="single"/>
          <w:lang w:val="en-US"/>
        </w:rPr>
        <w:t>Eligibility Check</w:t>
      </w:r>
      <w:r w:rsidRPr="00572EB2">
        <w:rPr>
          <w:sz w:val="22"/>
          <w:szCs w:val="22"/>
          <w:lang w:val="en-US"/>
        </w:rPr>
        <w:t xml:space="preserve"> (see Eligibility Requirements under section III above).</w:t>
      </w:r>
    </w:p>
    <w:p w14:paraId="00973F95" w14:textId="77777777" w:rsidR="00572EB2" w:rsidRPr="00572EB2" w:rsidRDefault="00572EB2" w:rsidP="00572EB2">
      <w:pPr>
        <w:jc w:val="both"/>
        <w:rPr>
          <w:b/>
          <w:bCs/>
          <w:i/>
          <w:iCs/>
          <w:sz w:val="22"/>
          <w:szCs w:val="22"/>
          <w:lang w:val="en-US"/>
        </w:rPr>
      </w:pPr>
      <w:r w:rsidRPr="00572EB2">
        <w:rPr>
          <w:b/>
          <w:bCs/>
          <w:i/>
          <w:iCs/>
          <w:sz w:val="22"/>
          <w:szCs w:val="22"/>
          <w:lang w:val="en-US"/>
        </w:rPr>
        <w:t>Evaluation of Proposals</w:t>
      </w:r>
    </w:p>
    <w:p w14:paraId="5E574098" w14:textId="2FAF3C05" w:rsidR="00094A2B" w:rsidRPr="00094A2B" w:rsidRDefault="00094A2B" w:rsidP="00572EB2">
      <w:pPr>
        <w:jc w:val="both"/>
        <w:rPr>
          <w:sz w:val="22"/>
          <w:szCs w:val="20"/>
          <w:lang w:val="en-US"/>
        </w:rPr>
      </w:pPr>
      <w:r>
        <w:rPr>
          <w:sz w:val="22"/>
          <w:szCs w:val="20"/>
          <w:lang w:val="en-US"/>
        </w:rPr>
        <w:t>Applications will be assessed for preselection on the basis of their merits by a selection committee.</w:t>
      </w:r>
    </w:p>
    <w:p w14:paraId="456ED660" w14:textId="4F1B1DE9" w:rsidR="00572EB2" w:rsidRPr="00572EB2" w:rsidRDefault="00572EB2" w:rsidP="00572EB2">
      <w:pPr>
        <w:jc w:val="both"/>
        <w:rPr>
          <w:sz w:val="22"/>
          <w:szCs w:val="22"/>
          <w:lang w:val="en-US"/>
        </w:rPr>
      </w:pPr>
      <w:r w:rsidRPr="00572EB2">
        <w:rPr>
          <w:sz w:val="22"/>
          <w:szCs w:val="22"/>
          <w:lang w:val="en-US"/>
        </w:rPr>
        <w:t>Project selection will be carried out:</w:t>
      </w:r>
    </w:p>
    <w:p w14:paraId="4822F0E6" w14:textId="77777777" w:rsidR="00572EB2" w:rsidRPr="00572EB2" w:rsidRDefault="00572EB2" w:rsidP="00572EB2">
      <w:pPr>
        <w:pStyle w:val="ListParagraph"/>
        <w:numPr>
          <w:ilvl w:val="0"/>
          <w:numId w:val="22"/>
        </w:numPr>
        <w:spacing w:line="259" w:lineRule="auto"/>
        <w:jc w:val="both"/>
        <w:rPr>
          <w:sz w:val="22"/>
          <w:szCs w:val="22"/>
          <w:lang w:val="en-US"/>
        </w:rPr>
      </w:pPr>
      <w:r w:rsidRPr="00572EB2">
        <w:rPr>
          <w:sz w:val="22"/>
          <w:szCs w:val="22"/>
          <w:lang w:val="en-US"/>
        </w:rPr>
        <w:t>In adherence with UNESCO rules, regulations and applicable procedures;</w:t>
      </w:r>
    </w:p>
    <w:p w14:paraId="7BC5B78B" w14:textId="1AE0F838" w:rsidR="00572EB2" w:rsidRPr="00572EB2" w:rsidRDefault="00572EB2" w:rsidP="00094A2B">
      <w:pPr>
        <w:pStyle w:val="ListParagraph"/>
        <w:numPr>
          <w:ilvl w:val="0"/>
          <w:numId w:val="22"/>
        </w:numPr>
        <w:spacing w:line="259" w:lineRule="auto"/>
        <w:jc w:val="both"/>
        <w:rPr>
          <w:sz w:val="22"/>
          <w:szCs w:val="22"/>
          <w:lang w:val="en-US"/>
        </w:rPr>
      </w:pPr>
      <w:r w:rsidRPr="00572EB2">
        <w:rPr>
          <w:sz w:val="22"/>
          <w:szCs w:val="22"/>
          <w:lang w:val="en-US"/>
        </w:rPr>
        <w:t xml:space="preserve">Based on three principles: </w:t>
      </w:r>
      <w:r w:rsidRPr="00572EB2">
        <w:rPr>
          <w:i/>
          <w:iCs/>
          <w:sz w:val="22"/>
          <w:szCs w:val="22"/>
          <w:lang w:val="en-US"/>
        </w:rPr>
        <w:t>Best Value for Money; Fairness, Integrity, and Transparency; and Economy and Effectiveness</w:t>
      </w:r>
      <w:r w:rsidR="00094A2B">
        <w:rPr>
          <w:rStyle w:val="FootnoteReference"/>
          <w:i/>
          <w:iCs/>
          <w:sz w:val="22"/>
          <w:szCs w:val="22"/>
          <w:lang w:val="en-US"/>
        </w:rPr>
        <w:footnoteReference w:id="6"/>
      </w:r>
      <w:r w:rsidRPr="00572EB2">
        <w:rPr>
          <w:i/>
          <w:iCs/>
          <w:sz w:val="22"/>
          <w:szCs w:val="22"/>
          <w:lang w:val="en-US"/>
        </w:rPr>
        <w:t>.</w:t>
      </w:r>
    </w:p>
    <w:p w14:paraId="6B1F413C" w14:textId="23A3E87F" w:rsidR="00572EB2" w:rsidRPr="00572EB2" w:rsidRDefault="00572EB2" w:rsidP="00572EB2">
      <w:pPr>
        <w:jc w:val="both"/>
        <w:rPr>
          <w:sz w:val="22"/>
          <w:szCs w:val="22"/>
          <w:lang w:val="en-US"/>
        </w:rPr>
      </w:pPr>
      <w:r w:rsidRPr="00572EB2">
        <w:rPr>
          <w:sz w:val="22"/>
          <w:szCs w:val="22"/>
          <w:lang w:val="en-US"/>
        </w:rPr>
        <w:lastRenderedPageBreak/>
        <w:t>Proposals are evaluated and scored against an evaluation grid</w:t>
      </w:r>
      <w:r w:rsidR="00626C86">
        <w:rPr>
          <w:sz w:val="22"/>
          <w:szCs w:val="22"/>
          <w:lang w:val="en-US"/>
        </w:rPr>
        <w:t xml:space="preserve"> </w:t>
      </w:r>
      <w:r w:rsidR="00265FC1">
        <w:rPr>
          <w:sz w:val="22"/>
          <w:szCs w:val="22"/>
          <w:lang w:val="en-US"/>
        </w:rPr>
        <w:t xml:space="preserve">consisting of three categories, under each of which a score from </w:t>
      </w:r>
      <w:r w:rsidRPr="00572EB2">
        <w:rPr>
          <w:sz w:val="22"/>
          <w:szCs w:val="22"/>
          <w:lang w:val="en-US"/>
        </w:rPr>
        <w:t xml:space="preserve">0 to 5 points </w:t>
      </w:r>
      <w:r w:rsidR="00265FC1">
        <w:rPr>
          <w:sz w:val="22"/>
          <w:szCs w:val="22"/>
          <w:lang w:val="en-US"/>
        </w:rPr>
        <w:t xml:space="preserve">will be attributed </w:t>
      </w:r>
      <w:r w:rsidRPr="00572EB2">
        <w:rPr>
          <w:sz w:val="22"/>
          <w:szCs w:val="22"/>
          <w:lang w:val="en-US"/>
        </w:rPr>
        <w:t>(half scores may be given):</w:t>
      </w:r>
    </w:p>
    <w:p w14:paraId="291690D0" w14:textId="77777777" w:rsidR="00572EB2" w:rsidRPr="00572EB2" w:rsidRDefault="00572EB2" w:rsidP="00572EB2">
      <w:pPr>
        <w:pStyle w:val="ListParagraph"/>
        <w:numPr>
          <w:ilvl w:val="0"/>
          <w:numId w:val="23"/>
        </w:numPr>
        <w:spacing w:line="259" w:lineRule="auto"/>
        <w:jc w:val="both"/>
        <w:rPr>
          <w:sz w:val="22"/>
          <w:szCs w:val="22"/>
          <w:lang w:val="en-US"/>
        </w:rPr>
      </w:pPr>
      <w:r w:rsidRPr="00572EB2">
        <w:rPr>
          <w:sz w:val="22"/>
          <w:szCs w:val="22"/>
          <w:lang w:val="en-US"/>
        </w:rPr>
        <w:t>0 – Proposal fails to address the criteria or cannot be assessed due to missing or incomplete information.</w:t>
      </w:r>
    </w:p>
    <w:p w14:paraId="61BE3255" w14:textId="77777777" w:rsidR="00572EB2" w:rsidRPr="00572EB2" w:rsidRDefault="00572EB2" w:rsidP="00572EB2">
      <w:pPr>
        <w:pStyle w:val="ListParagraph"/>
        <w:numPr>
          <w:ilvl w:val="0"/>
          <w:numId w:val="23"/>
        </w:numPr>
        <w:spacing w:line="259" w:lineRule="auto"/>
        <w:jc w:val="both"/>
        <w:rPr>
          <w:sz w:val="22"/>
          <w:szCs w:val="22"/>
          <w:lang w:val="en-US"/>
        </w:rPr>
      </w:pPr>
      <w:r w:rsidRPr="00572EB2">
        <w:rPr>
          <w:sz w:val="22"/>
          <w:szCs w:val="22"/>
          <w:lang w:val="en-US"/>
        </w:rPr>
        <w:t>1 – Poor. The proposal does not address the criteria adequately or contains serious flaws that cannot be corrected without amending a significant part of the proposal.</w:t>
      </w:r>
    </w:p>
    <w:p w14:paraId="589DDE9D" w14:textId="6F5A4388" w:rsidR="00572EB2" w:rsidRPr="00572EB2" w:rsidRDefault="00572EB2" w:rsidP="00572EB2">
      <w:pPr>
        <w:pStyle w:val="ListParagraph"/>
        <w:numPr>
          <w:ilvl w:val="0"/>
          <w:numId w:val="23"/>
        </w:numPr>
        <w:spacing w:line="259" w:lineRule="auto"/>
        <w:jc w:val="both"/>
        <w:rPr>
          <w:sz w:val="22"/>
          <w:szCs w:val="22"/>
          <w:lang w:val="en-US"/>
        </w:rPr>
      </w:pPr>
      <w:r w:rsidRPr="00572EB2">
        <w:rPr>
          <w:sz w:val="22"/>
          <w:szCs w:val="22"/>
          <w:lang w:val="en-US"/>
        </w:rPr>
        <w:t xml:space="preserve">2 – Fair. The proposal broadly addresses the overall criteria, but it presents major weaknesses or shortcomings that </w:t>
      </w:r>
      <w:r w:rsidR="00247D74" w:rsidRPr="00572EB2">
        <w:rPr>
          <w:sz w:val="22"/>
          <w:szCs w:val="22"/>
          <w:lang w:val="en-US"/>
        </w:rPr>
        <w:t>cannot be corrected without amending a significant part of the proposal.</w:t>
      </w:r>
    </w:p>
    <w:p w14:paraId="3B7210EA" w14:textId="78EE6337" w:rsidR="00572EB2" w:rsidRPr="00572EB2" w:rsidRDefault="00572EB2" w:rsidP="00572EB2">
      <w:pPr>
        <w:pStyle w:val="ListParagraph"/>
        <w:numPr>
          <w:ilvl w:val="0"/>
          <w:numId w:val="23"/>
        </w:numPr>
        <w:spacing w:line="259" w:lineRule="auto"/>
        <w:jc w:val="both"/>
        <w:rPr>
          <w:sz w:val="22"/>
          <w:szCs w:val="22"/>
          <w:lang w:val="en-US"/>
        </w:rPr>
      </w:pPr>
      <w:r w:rsidRPr="00572EB2">
        <w:rPr>
          <w:sz w:val="22"/>
          <w:szCs w:val="22"/>
          <w:lang w:val="en-US"/>
        </w:rPr>
        <w:t>3 – Good. The proposal covers well most elements of the criteria, but there are significant shortcomings that it may or may not be possible to address satisfactorily during the streamlining phase.</w:t>
      </w:r>
    </w:p>
    <w:p w14:paraId="21FFBFB8" w14:textId="2AD82E7C" w:rsidR="00572EB2" w:rsidRPr="00572EB2" w:rsidRDefault="00572EB2" w:rsidP="00572EB2">
      <w:pPr>
        <w:pStyle w:val="ListParagraph"/>
        <w:numPr>
          <w:ilvl w:val="0"/>
          <w:numId w:val="23"/>
        </w:numPr>
        <w:spacing w:line="259" w:lineRule="auto"/>
        <w:jc w:val="both"/>
        <w:rPr>
          <w:sz w:val="22"/>
          <w:szCs w:val="22"/>
          <w:lang w:val="en-US"/>
        </w:rPr>
      </w:pPr>
      <w:r w:rsidRPr="00572EB2">
        <w:rPr>
          <w:sz w:val="22"/>
          <w:szCs w:val="22"/>
          <w:lang w:val="en-US"/>
        </w:rPr>
        <w:t xml:space="preserve">4 – Very good. The proposal satisfactorily covers all relevant elements of the criteria, though a small number of shortcomings will require streamlining to ensure its full alignment with the objectives of </w:t>
      </w:r>
      <w:r w:rsidR="00831F04">
        <w:rPr>
          <w:sz w:val="22"/>
          <w:szCs w:val="22"/>
          <w:lang w:val="en-US"/>
        </w:rPr>
        <w:t>this Call</w:t>
      </w:r>
      <w:r w:rsidRPr="00572EB2">
        <w:rPr>
          <w:sz w:val="22"/>
          <w:szCs w:val="22"/>
          <w:lang w:val="en-US"/>
        </w:rPr>
        <w:t xml:space="preserve">. </w:t>
      </w:r>
    </w:p>
    <w:p w14:paraId="3CFE3CDB" w14:textId="3FCB650B" w:rsidR="003B1DE7" w:rsidRPr="007958F6" w:rsidRDefault="00572EB2" w:rsidP="003B1DE7">
      <w:pPr>
        <w:pStyle w:val="ListParagraph"/>
        <w:numPr>
          <w:ilvl w:val="0"/>
          <w:numId w:val="23"/>
        </w:numPr>
        <w:spacing w:line="259" w:lineRule="auto"/>
        <w:jc w:val="both"/>
        <w:rPr>
          <w:sz w:val="22"/>
          <w:szCs w:val="22"/>
          <w:lang w:val="en-US"/>
        </w:rPr>
      </w:pPr>
      <w:r w:rsidRPr="00572EB2">
        <w:rPr>
          <w:sz w:val="22"/>
          <w:szCs w:val="22"/>
          <w:lang w:val="en-US"/>
        </w:rPr>
        <w:t xml:space="preserve">5 – Excellent. The proposal successfully addresses all relevant elements of the criteria and is fully aligned with the objectives of </w:t>
      </w:r>
      <w:r w:rsidR="00565399">
        <w:rPr>
          <w:sz w:val="22"/>
          <w:szCs w:val="22"/>
          <w:lang w:val="en-US"/>
        </w:rPr>
        <w:t>this Call</w:t>
      </w:r>
      <w:r w:rsidRPr="00572EB2">
        <w:rPr>
          <w:sz w:val="22"/>
          <w:szCs w:val="22"/>
          <w:lang w:val="en-US"/>
        </w:rPr>
        <w:t xml:space="preserve">. Shortcomings are very minor and can be </w:t>
      </w:r>
      <w:r w:rsidRPr="00F61A3B">
        <w:rPr>
          <w:sz w:val="22"/>
          <w:szCs w:val="22"/>
          <w:lang w:val="en-US"/>
        </w:rPr>
        <w:t>easily rectified or adjusted during the streamlining phase.</w:t>
      </w:r>
    </w:p>
    <w:tbl>
      <w:tblPr>
        <w:tblStyle w:val="TableGridLight"/>
        <w:tblW w:w="0" w:type="auto"/>
        <w:tblLook w:val="04A0" w:firstRow="1" w:lastRow="0" w:firstColumn="1" w:lastColumn="0" w:noHBand="0" w:noVBand="1"/>
      </w:tblPr>
      <w:tblGrid>
        <w:gridCol w:w="2405"/>
        <w:gridCol w:w="3969"/>
        <w:gridCol w:w="2642"/>
      </w:tblGrid>
      <w:tr w:rsidR="005D6FFD" w:rsidRPr="007958F6" w14:paraId="4A477FFE" w14:textId="77777777" w:rsidTr="007958F6">
        <w:tc>
          <w:tcPr>
            <w:tcW w:w="9016" w:type="dxa"/>
            <w:gridSpan w:val="3"/>
            <w:shd w:val="clear" w:color="auto" w:fill="153D63" w:themeFill="text2" w:themeFillTint="E6"/>
          </w:tcPr>
          <w:p w14:paraId="4F214456" w14:textId="67674A11" w:rsidR="005D6FFD" w:rsidRPr="007958F6" w:rsidRDefault="005D6FFD" w:rsidP="005D6FFD">
            <w:pPr>
              <w:jc w:val="center"/>
              <w:rPr>
                <w:rFonts w:cs="Calibri"/>
                <w:sz w:val="22"/>
                <w:szCs w:val="22"/>
              </w:rPr>
            </w:pPr>
            <w:r w:rsidRPr="007958F6">
              <w:rPr>
                <w:rFonts w:cs="Calibri"/>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EVALUATION GRID</w:t>
            </w:r>
          </w:p>
        </w:tc>
      </w:tr>
      <w:tr w:rsidR="005D6FFD" w:rsidRPr="007958F6" w14:paraId="4F4E7E46" w14:textId="77777777" w:rsidTr="007958F6">
        <w:tc>
          <w:tcPr>
            <w:tcW w:w="2405" w:type="dxa"/>
            <w:shd w:val="clear" w:color="auto" w:fill="808080" w:themeFill="background1" w:themeFillShade="80"/>
          </w:tcPr>
          <w:p w14:paraId="34060A91" w14:textId="63A3AF2C" w:rsidR="005D6FFD" w:rsidRPr="007958F6" w:rsidRDefault="005D6FFD" w:rsidP="005D6FFD">
            <w:pPr>
              <w:jc w:val="center"/>
              <w:rPr>
                <w:rFonts w:cs="Calibri"/>
                <w:color w:val="FFFFFF" w:themeColor="background1"/>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958F6">
              <w:rPr>
                <w:rFonts w:cs="Calibri"/>
                <w:color w:val="FFFFFF" w:themeColor="background1"/>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CATEGORY</w:t>
            </w:r>
          </w:p>
        </w:tc>
        <w:tc>
          <w:tcPr>
            <w:tcW w:w="3969" w:type="dxa"/>
            <w:shd w:val="clear" w:color="auto" w:fill="808080" w:themeFill="background1" w:themeFillShade="80"/>
          </w:tcPr>
          <w:p w14:paraId="66D0279A" w14:textId="008AAAA9" w:rsidR="005D6FFD" w:rsidRPr="007958F6" w:rsidRDefault="00B34425" w:rsidP="005D6FFD">
            <w:pPr>
              <w:jc w:val="center"/>
              <w:rPr>
                <w:rFonts w:cs="Calibri"/>
                <w:b/>
                <w:bCs/>
                <w:color w:val="FFFFFF" w:themeColor="background1"/>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Calibri"/>
                <w:color w:val="FFFFFF" w:themeColor="background1"/>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CRITERIA</w:t>
            </w:r>
          </w:p>
        </w:tc>
        <w:tc>
          <w:tcPr>
            <w:tcW w:w="2642" w:type="dxa"/>
            <w:shd w:val="clear" w:color="auto" w:fill="808080" w:themeFill="background1" w:themeFillShade="80"/>
          </w:tcPr>
          <w:p w14:paraId="5A8C315C" w14:textId="50A3601D" w:rsidR="005D6FFD" w:rsidRPr="007958F6" w:rsidRDefault="0040120C" w:rsidP="005D6FFD">
            <w:pPr>
              <w:jc w:val="center"/>
              <w:rPr>
                <w:rFonts w:cs="Calibri"/>
                <w:b/>
                <w:bCs/>
                <w:color w:val="FFFFFF" w:themeColor="background1"/>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Calibri"/>
                <w:color w:val="FFFFFF" w:themeColor="background1"/>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SCORE</w:t>
            </w:r>
          </w:p>
        </w:tc>
      </w:tr>
      <w:tr w:rsidR="00C610D9" w14:paraId="6F64A90E" w14:textId="77777777" w:rsidTr="00C610D9">
        <w:tc>
          <w:tcPr>
            <w:tcW w:w="2405" w:type="dxa"/>
          </w:tcPr>
          <w:p w14:paraId="114F13D5" w14:textId="05E1FD3F" w:rsidR="00C610D9" w:rsidRPr="003F77CF" w:rsidRDefault="0027124D" w:rsidP="006339B9">
            <w:pPr>
              <w:jc w:val="center"/>
              <w:rPr>
                <w:sz w:val="20"/>
                <w:szCs w:val="20"/>
              </w:rPr>
            </w:pPr>
            <w:r>
              <w:rPr>
                <w:sz w:val="20"/>
                <w:szCs w:val="20"/>
              </w:rPr>
              <w:t>Technical</w:t>
            </w:r>
            <w:r w:rsidR="00C610D9" w:rsidRPr="003F77CF">
              <w:rPr>
                <w:sz w:val="20"/>
                <w:szCs w:val="20"/>
              </w:rPr>
              <w:t xml:space="preserve"> Proposal</w:t>
            </w:r>
          </w:p>
        </w:tc>
        <w:tc>
          <w:tcPr>
            <w:tcW w:w="3969" w:type="dxa"/>
          </w:tcPr>
          <w:p w14:paraId="21B88209" w14:textId="2951FB04" w:rsidR="00C610D9" w:rsidRDefault="00661AA3" w:rsidP="00C610D9">
            <w:pPr>
              <w:pStyle w:val="ListParagraph"/>
              <w:numPr>
                <w:ilvl w:val="0"/>
                <w:numId w:val="34"/>
              </w:numPr>
              <w:jc w:val="both"/>
              <w:rPr>
                <w:sz w:val="20"/>
                <w:szCs w:val="20"/>
              </w:rPr>
            </w:pPr>
            <w:r>
              <w:rPr>
                <w:sz w:val="20"/>
                <w:szCs w:val="20"/>
              </w:rPr>
              <w:t>Alignment with</w:t>
            </w:r>
            <w:r w:rsidR="00C610D9" w:rsidRPr="003F77CF">
              <w:rPr>
                <w:sz w:val="20"/>
                <w:szCs w:val="20"/>
              </w:rPr>
              <w:t xml:space="preserve"> GMDF Outputs</w:t>
            </w:r>
          </w:p>
          <w:p w14:paraId="5BAB6DCF" w14:textId="10500C97" w:rsidR="003C1006" w:rsidRPr="003C1006" w:rsidRDefault="003C1006" w:rsidP="00C610D9">
            <w:pPr>
              <w:pStyle w:val="ListParagraph"/>
              <w:numPr>
                <w:ilvl w:val="0"/>
                <w:numId w:val="34"/>
              </w:numPr>
              <w:jc w:val="both"/>
              <w:rPr>
                <w:sz w:val="20"/>
                <w:szCs w:val="20"/>
                <w:lang w:val="en-US"/>
              </w:rPr>
            </w:pPr>
            <w:r w:rsidRPr="003C1006">
              <w:rPr>
                <w:sz w:val="20"/>
                <w:szCs w:val="20"/>
                <w:lang w:val="en-US"/>
              </w:rPr>
              <w:t xml:space="preserve">Alignment with the Call’s </w:t>
            </w:r>
            <w:r w:rsidR="00445272">
              <w:rPr>
                <w:sz w:val="20"/>
                <w:szCs w:val="20"/>
                <w:lang w:val="en-US"/>
              </w:rPr>
              <w:t>T</w:t>
            </w:r>
            <w:r>
              <w:rPr>
                <w:sz w:val="20"/>
                <w:szCs w:val="20"/>
                <w:lang w:val="en-US"/>
              </w:rPr>
              <w:t xml:space="preserve">hematic </w:t>
            </w:r>
            <w:r w:rsidR="00445272">
              <w:rPr>
                <w:sz w:val="20"/>
                <w:szCs w:val="20"/>
                <w:lang w:val="en-US"/>
              </w:rPr>
              <w:t>F</w:t>
            </w:r>
            <w:r>
              <w:rPr>
                <w:sz w:val="20"/>
                <w:szCs w:val="20"/>
                <w:lang w:val="en-US"/>
              </w:rPr>
              <w:t>ocus</w:t>
            </w:r>
            <w:r w:rsidR="007D0076">
              <w:rPr>
                <w:sz w:val="20"/>
                <w:szCs w:val="20"/>
                <w:lang w:val="en-US"/>
              </w:rPr>
              <w:t xml:space="preserve"> </w:t>
            </w:r>
          </w:p>
          <w:p w14:paraId="3E615AD4" w14:textId="77777777" w:rsidR="00C610D9" w:rsidRPr="003C1006" w:rsidRDefault="00C610D9" w:rsidP="00C610D9">
            <w:pPr>
              <w:pStyle w:val="ListParagraph"/>
              <w:numPr>
                <w:ilvl w:val="0"/>
                <w:numId w:val="34"/>
              </w:numPr>
              <w:rPr>
                <w:sz w:val="20"/>
                <w:szCs w:val="20"/>
                <w:lang w:val="en-US"/>
              </w:rPr>
            </w:pPr>
            <w:r w:rsidRPr="003C1006">
              <w:rPr>
                <w:sz w:val="20"/>
                <w:szCs w:val="20"/>
                <w:lang w:val="en-US"/>
              </w:rPr>
              <w:lastRenderedPageBreak/>
              <w:t xml:space="preserve">Specific, measurable, achievable, and relevant objective(s) </w:t>
            </w:r>
          </w:p>
          <w:p w14:paraId="37E63C66" w14:textId="77777777" w:rsidR="00C610D9" w:rsidRPr="00934CB8" w:rsidRDefault="00C610D9" w:rsidP="00C610D9">
            <w:pPr>
              <w:pStyle w:val="ListParagraph"/>
              <w:numPr>
                <w:ilvl w:val="0"/>
                <w:numId w:val="34"/>
              </w:numPr>
              <w:rPr>
                <w:sz w:val="20"/>
                <w:szCs w:val="20"/>
                <w:lang w:val="en-US"/>
              </w:rPr>
            </w:pPr>
            <w:r w:rsidRPr="00934CB8">
              <w:rPr>
                <w:sz w:val="20"/>
                <w:szCs w:val="20"/>
                <w:lang w:val="en-US"/>
              </w:rPr>
              <w:t>Time-bound implementation (18 months maximum)</w:t>
            </w:r>
          </w:p>
          <w:p w14:paraId="16A7F68A" w14:textId="77777777" w:rsidR="00C610D9" w:rsidRPr="003F77CF" w:rsidRDefault="00C610D9" w:rsidP="00C610D9">
            <w:pPr>
              <w:pStyle w:val="ListParagraph"/>
              <w:numPr>
                <w:ilvl w:val="0"/>
                <w:numId w:val="34"/>
              </w:numPr>
              <w:rPr>
                <w:sz w:val="20"/>
                <w:szCs w:val="20"/>
              </w:rPr>
            </w:pPr>
            <w:r w:rsidRPr="003F77CF">
              <w:rPr>
                <w:sz w:val="20"/>
                <w:szCs w:val="20"/>
              </w:rPr>
              <w:t>Operational and technical feasibility</w:t>
            </w:r>
          </w:p>
          <w:p w14:paraId="63601471" w14:textId="453CF1F6" w:rsidR="00545A16" w:rsidRDefault="00C610D9" w:rsidP="00C610D9">
            <w:pPr>
              <w:pStyle w:val="ListParagraph"/>
              <w:numPr>
                <w:ilvl w:val="0"/>
                <w:numId w:val="34"/>
              </w:numPr>
              <w:rPr>
                <w:sz w:val="20"/>
                <w:szCs w:val="20"/>
                <w:lang w:val="en-US"/>
              </w:rPr>
            </w:pPr>
            <w:r w:rsidRPr="00545A16">
              <w:rPr>
                <w:sz w:val="20"/>
                <w:szCs w:val="20"/>
                <w:lang w:val="en-US"/>
              </w:rPr>
              <w:t>Human rights-based approach throughout development and implementation</w:t>
            </w:r>
          </w:p>
          <w:p w14:paraId="6D3EC2C1" w14:textId="27FF7494" w:rsidR="00C610D9" w:rsidRPr="00545A16" w:rsidRDefault="00545A16" w:rsidP="00C610D9">
            <w:pPr>
              <w:pStyle w:val="ListParagraph"/>
              <w:numPr>
                <w:ilvl w:val="0"/>
                <w:numId w:val="34"/>
              </w:numPr>
              <w:rPr>
                <w:sz w:val="20"/>
                <w:szCs w:val="20"/>
                <w:lang w:val="en-US"/>
              </w:rPr>
            </w:pPr>
            <w:r>
              <w:rPr>
                <w:sz w:val="20"/>
                <w:szCs w:val="20"/>
                <w:lang w:val="en-US"/>
              </w:rPr>
              <w:t xml:space="preserve">Abidance by </w:t>
            </w:r>
            <w:r w:rsidRPr="00545A16">
              <w:rPr>
                <w:sz w:val="20"/>
                <w:szCs w:val="20"/>
                <w:lang w:val="en-US"/>
              </w:rPr>
              <w:t>international standards on freedom of expression and safety of journalists</w:t>
            </w:r>
          </w:p>
          <w:p w14:paraId="7793DC3B" w14:textId="77777777" w:rsidR="00C610D9" w:rsidRDefault="00C610D9" w:rsidP="00C610D9">
            <w:pPr>
              <w:pStyle w:val="ListParagraph"/>
              <w:numPr>
                <w:ilvl w:val="0"/>
                <w:numId w:val="34"/>
              </w:numPr>
              <w:rPr>
                <w:sz w:val="20"/>
                <w:szCs w:val="20"/>
                <w:lang w:val="en-US"/>
              </w:rPr>
            </w:pPr>
            <w:r w:rsidRPr="00545A16">
              <w:rPr>
                <w:sz w:val="20"/>
                <w:szCs w:val="20"/>
                <w:lang w:val="en-US"/>
              </w:rPr>
              <w:t>Alignment with UN Plan of Action on Safety of Journalists and the Issue of Impunity</w:t>
            </w:r>
          </w:p>
          <w:p w14:paraId="01885155" w14:textId="66FC143B" w:rsidR="009F4BAE" w:rsidRDefault="009F4BAE" w:rsidP="00C610D9">
            <w:pPr>
              <w:pStyle w:val="ListParagraph"/>
              <w:numPr>
                <w:ilvl w:val="0"/>
                <w:numId w:val="34"/>
              </w:numPr>
              <w:rPr>
                <w:sz w:val="20"/>
                <w:szCs w:val="20"/>
                <w:lang w:val="en-US"/>
              </w:rPr>
            </w:pPr>
            <w:r>
              <w:rPr>
                <w:sz w:val="20"/>
                <w:szCs w:val="20"/>
                <w:lang w:val="en-US"/>
              </w:rPr>
              <w:t>Gender mainstreaming</w:t>
            </w:r>
          </w:p>
          <w:p w14:paraId="615015C2" w14:textId="6CB71A13" w:rsidR="009F4BAE" w:rsidRDefault="00CE7E91" w:rsidP="00C610D9">
            <w:pPr>
              <w:pStyle w:val="ListParagraph"/>
              <w:numPr>
                <w:ilvl w:val="0"/>
                <w:numId w:val="34"/>
              </w:numPr>
              <w:rPr>
                <w:sz w:val="20"/>
                <w:szCs w:val="20"/>
                <w:lang w:val="en-US"/>
              </w:rPr>
            </w:pPr>
            <w:r>
              <w:rPr>
                <w:sz w:val="20"/>
                <w:szCs w:val="20"/>
                <w:lang w:val="en-US"/>
              </w:rPr>
              <w:t>Sustainability of the action</w:t>
            </w:r>
          </w:p>
          <w:p w14:paraId="385A6F70" w14:textId="0D5B75EF" w:rsidR="00CE7E91" w:rsidRPr="00545A16" w:rsidRDefault="00CE7E91" w:rsidP="00C610D9">
            <w:pPr>
              <w:pStyle w:val="ListParagraph"/>
              <w:numPr>
                <w:ilvl w:val="0"/>
                <w:numId w:val="34"/>
              </w:numPr>
              <w:rPr>
                <w:sz w:val="20"/>
                <w:szCs w:val="20"/>
                <w:lang w:val="en-US"/>
              </w:rPr>
            </w:pPr>
            <w:r>
              <w:rPr>
                <w:sz w:val="20"/>
                <w:szCs w:val="20"/>
                <w:lang w:val="en-US"/>
              </w:rPr>
              <w:t>Environmental sustainability considerations</w:t>
            </w:r>
          </w:p>
          <w:p w14:paraId="7E74C13C" w14:textId="7198CA02" w:rsidR="00C610D9" w:rsidRDefault="000212DE" w:rsidP="00C610D9">
            <w:pPr>
              <w:pStyle w:val="ListParagraph"/>
              <w:numPr>
                <w:ilvl w:val="0"/>
                <w:numId w:val="34"/>
              </w:numPr>
              <w:rPr>
                <w:sz w:val="20"/>
                <w:szCs w:val="20"/>
                <w:lang w:val="en-US"/>
              </w:rPr>
            </w:pPr>
            <w:r>
              <w:rPr>
                <w:sz w:val="20"/>
                <w:szCs w:val="20"/>
                <w:lang w:val="en-US"/>
              </w:rPr>
              <w:t>Contribution to UNESCO Global Priorities</w:t>
            </w:r>
          </w:p>
          <w:p w14:paraId="5EAE2266" w14:textId="1C046FC2" w:rsidR="00C32274" w:rsidRDefault="00C32274" w:rsidP="00C610D9">
            <w:pPr>
              <w:pStyle w:val="ListParagraph"/>
              <w:numPr>
                <w:ilvl w:val="0"/>
                <w:numId w:val="34"/>
              </w:numPr>
              <w:rPr>
                <w:sz w:val="20"/>
                <w:szCs w:val="20"/>
                <w:lang w:val="en-US"/>
              </w:rPr>
            </w:pPr>
            <w:r>
              <w:rPr>
                <w:sz w:val="20"/>
                <w:szCs w:val="20"/>
                <w:lang w:val="en-US"/>
              </w:rPr>
              <w:t>Special Attention considerations: LDCs, SIDS, Indigenous Peoples</w:t>
            </w:r>
          </w:p>
          <w:p w14:paraId="1B699958" w14:textId="6BA920A3" w:rsidR="00C66A9C" w:rsidRDefault="00C66A9C" w:rsidP="00C610D9">
            <w:pPr>
              <w:pStyle w:val="ListParagraph"/>
              <w:numPr>
                <w:ilvl w:val="0"/>
                <w:numId w:val="34"/>
              </w:numPr>
              <w:rPr>
                <w:sz w:val="20"/>
                <w:szCs w:val="20"/>
                <w:lang w:val="en-US"/>
              </w:rPr>
            </w:pPr>
            <w:r>
              <w:rPr>
                <w:sz w:val="20"/>
                <w:szCs w:val="20"/>
                <w:lang w:val="en-US"/>
              </w:rPr>
              <w:t>Use of UNESCO resources and publications</w:t>
            </w:r>
          </w:p>
          <w:p w14:paraId="42E4040C" w14:textId="263C9582" w:rsidR="00C32274" w:rsidRPr="009F4BAE" w:rsidRDefault="00F12604" w:rsidP="00C610D9">
            <w:pPr>
              <w:pStyle w:val="ListParagraph"/>
              <w:numPr>
                <w:ilvl w:val="0"/>
                <w:numId w:val="34"/>
              </w:numPr>
              <w:rPr>
                <w:sz w:val="20"/>
                <w:szCs w:val="20"/>
                <w:lang w:val="en-US"/>
              </w:rPr>
            </w:pPr>
            <w:r>
              <w:rPr>
                <w:sz w:val="20"/>
                <w:szCs w:val="20"/>
                <w:lang w:val="en-US"/>
              </w:rPr>
              <w:t>Potential for results in advance of COP30</w:t>
            </w:r>
          </w:p>
          <w:p w14:paraId="60261A19" w14:textId="77777777" w:rsidR="00C610D9" w:rsidRPr="00C32274" w:rsidRDefault="00C610D9" w:rsidP="00C610D9">
            <w:pPr>
              <w:pStyle w:val="ListParagraph"/>
              <w:numPr>
                <w:ilvl w:val="0"/>
                <w:numId w:val="34"/>
              </w:numPr>
              <w:rPr>
                <w:sz w:val="20"/>
                <w:szCs w:val="20"/>
                <w:lang w:val="en-US"/>
              </w:rPr>
            </w:pPr>
            <w:r w:rsidRPr="00C32274">
              <w:rPr>
                <w:sz w:val="20"/>
                <w:szCs w:val="20"/>
                <w:lang w:val="en-US"/>
              </w:rPr>
              <w:t>Inputs from UNESCO Field Offices</w:t>
            </w:r>
          </w:p>
        </w:tc>
        <w:tc>
          <w:tcPr>
            <w:tcW w:w="2642" w:type="dxa"/>
          </w:tcPr>
          <w:p w14:paraId="30C4224D" w14:textId="77777777" w:rsidR="00C610D9" w:rsidRPr="003F77CF" w:rsidRDefault="00C610D9" w:rsidP="006339B9">
            <w:pPr>
              <w:jc w:val="center"/>
              <w:rPr>
                <w:sz w:val="20"/>
                <w:szCs w:val="20"/>
              </w:rPr>
            </w:pPr>
            <w:r w:rsidRPr="003F77CF">
              <w:rPr>
                <w:sz w:val="20"/>
                <w:szCs w:val="20"/>
              </w:rPr>
              <w:lastRenderedPageBreak/>
              <w:t>5 points</w:t>
            </w:r>
          </w:p>
        </w:tc>
      </w:tr>
      <w:tr w:rsidR="00C610D9" w14:paraId="5C3CD67D" w14:textId="77777777" w:rsidTr="00C610D9">
        <w:tc>
          <w:tcPr>
            <w:tcW w:w="2405" w:type="dxa"/>
          </w:tcPr>
          <w:p w14:paraId="03B66A10" w14:textId="77777777" w:rsidR="00C610D9" w:rsidRPr="003F77CF" w:rsidRDefault="00C610D9" w:rsidP="006339B9">
            <w:pPr>
              <w:jc w:val="center"/>
              <w:rPr>
                <w:sz w:val="20"/>
                <w:szCs w:val="20"/>
              </w:rPr>
            </w:pPr>
            <w:r w:rsidRPr="003F77CF">
              <w:rPr>
                <w:sz w:val="20"/>
                <w:szCs w:val="20"/>
              </w:rPr>
              <w:t>Financial Proposal</w:t>
            </w:r>
          </w:p>
        </w:tc>
        <w:tc>
          <w:tcPr>
            <w:tcW w:w="3969" w:type="dxa"/>
          </w:tcPr>
          <w:p w14:paraId="05811ECE" w14:textId="77777777" w:rsidR="00285C47" w:rsidRDefault="00285C47" w:rsidP="00285C47">
            <w:pPr>
              <w:pStyle w:val="ListParagraph"/>
              <w:numPr>
                <w:ilvl w:val="0"/>
                <w:numId w:val="35"/>
              </w:numPr>
              <w:jc w:val="both"/>
              <w:rPr>
                <w:sz w:val="20"/>
                <w:szCs w:val="20"/>
              </w:rPr>
            </w:pPr>
            <w:r>
              <w:rPr>
                <w:sz w:val="20"/>
                <w:szCs w:val="20"/>
              </w:rPr>
              <w:t>Detailed cost breakdown</w:t>
            </w:r>
          </w:p>
          <w:p w14:paraId="5F601E8E" w14:textId="4663E118" w:rsidR="00285C47" w:rsidRPr="00285C47" w:rsidRDefault="00285C47" w:rsidP="00285C47">
            <w:pPr>
              <w:pStyle w:val="ListParagraph"/>
              <w:numPr>
                <w:ilvl w:val="0"/>
                <w:numId w:val="35"/>
              </w:numPr>
              <w:jc w:val="both"/>
              <w:rPr>
                <w:sz w:val="20"/>
                <w:szCs w:val="20"/>
              </w:rPr>
            </w:pPr>
            <w:r w:rsidRPr="003F77CF">
              <w:rPr>
                <w:sz w:val="20"/>
                <w:szCs w:val="20"/>
              </w:rPr>
              <w:t>Eligible costs only</w:t>
            </w:r>
          </w:p>
          <w:p w14:paraId="3CCE876F" w14:textId="77777777" w:rsidR="008E04F4" w:rsidRDefault="008E04F4" w:rsidP="008E04F4">
            <w:pPr>
              <w:pStyle w:val="ListParagraph"/>
              <w:numPr>
                <w:ilvl w:val="0"/>
                <w:numId w:val="35"/>
              </w:numPr>
              <w:rPr>
                <w:sz w:val="20"/>
                <w:szCs w:val="20"/>
                <w:lang w:val="en-US"/>
              </w:rPr>
            </w:pPr>
            <w:r w:rsidRPr="008B7A80">
              <w:rPr>
                <w:sz w:val="20"/>
                <w:szCs w:val="20"/>
                <w:lang w:val="en-US"/>
              </w:rPr>
              <w:t>Justification of resource requirements</w:t>
            </w:r>
            <w:r w:rsidR="008B7A80" w:rsidRPr="008B7A80">
              <w:rPr>
                <w:sz w:val="20"/>
                <w:szCs w:val="20"/>
                <w:lang w:val="en-US"/>
              </w:rPr>
              <w:t xml:space="preserve"> </w:t>
            </w:r>
            <w:r w:rsidR="008B7A80">
              <w:rPr>
                <w:sz w:val="20"/>
                <w:szCs w:val="20"/>
                <w:lang w:val="en-US"/>
              </w:rPr>
              <w:t>and value for money</w:t>
            </w:r>
          </w:p>
          <w:p w14:paraId="07FE9AD4" w14:textId="4D866CF7" w:rsidR="00312F66" w:rsidRDefault="00312F66" w:rsidP="00312F66">
            <w:pPr>
              <w:pStyle w:val="ListParagraph"/>
              <w:numPr>
                <w:ilvl w:val="0"/>
                <w:numId w:val="35"/>
              </w:numPr>
              <w:rPr>
                <w:sz w:val="20"/>
                <w:szCs w:val="20"/>
                <w:lang w:val="en-US"/>
              </w:rPr>
            </w:pPr>
            <w:r w:rsidRPr="00285C47">
              <w:rPr>
                <w:sz w:val="20"/>
                <w:szCs w:val="20"/>
                <w:lang w:val="en-US"/>
              </w:rPr>
              <w:t>Reasonability of costs vs. local standards (financial feasibility)</w:t>
            </w:r>
          </w:p>
          <w:p w14:paraId="790A59AF" w14:textId="49B6E1BB" w:rsidR="00312F66" w:rsidRPr="00312F66" w:rsidRDefault="00285C47" w:rsidP="00312F66">
            <w:pPr>
              <w:pStyle w:val="ListParagraph"/>
              <w:numPr>
                <w:ilvl w:val="0"/>
                <w:numId w:val="35"/>
              </w:numPr>
              <w:rPr>
                <w:sz w:val="20"/>
                <w:szCs w:val="20"/>
                <w:lang w:val="en-US"/>
              </w:rPr>
            </w:pPr>
            <w:r w:rsidRPr="003D48A8">
              <w:rPr>
                <w:sz w:val="20"/>
                <w:szCs w:val="20"/>
                <w:lang w:val="en-US"/>
              </w:rPr>
              <w:t xml:space="preserve">Partner ‘added value’ (Partner’s </w:t>
            </w:r>
            <w:r>
              <w:rPr>
                <w:sz w:val="20"/>
                <w:szCs w:val="20"/>
                <w:lang w:val="en-US"/>
              </w:rPr>
              <w:t>Contribution)</w:t>
            </w:r>
          </w:p>
        </w:tc>
        <w:tc>
          <w:tcPr>
            <w:tcW w:w="2642" w:type="dxa"/>
          </w:tcPr>
          <w:p w14:paraId="1D1F7E4B" w14:textId="77777777" w:rsidR="00C610D9" w:rsidRPr="003F77CF" w:rsidRDefault="00C610D9" w:rsidP="006339B9">
            <w:pPr>
              <w:jc w:val="center"/>
              <w:rPr>
                <w:sz w:val="20"/>
                <w:szCs w:val="20"/>
              </w:rPr>
            </w:pPr>
            <w:r w:rsidRPr="003F77CF">
              <w:rPr>
                <w:sz w:val="20"/>
                <w:szCs w:val="20"/>
              </w:rPr>
              <w:t>5 points</w:t>
            </w:r>
          </w:p>
        </w:tc>
      </w:tr>
      <w:tr w:rsidR="00C610D9" w14:paraId="0EDD89BB" w14:textId="77777777" w:rsidTr="00C610D9">
        <w:tc>
          <w:tcPr>
            <w:tcW w:w="2405" w:type="dxa"/>
          </w:tcPr>
          <w:p w14:paraId="24FD720C" w14:textId="77777777" w:rsidR="00C610D9" w:rsidRPr="003F77CF" w:rsidRDefault="00C610D9" w:rsidP="006339B9">
            <w:pPr>
              <w:jc w:val="center"/>
              <w:rPr>
                <w:sz w:val="20"/>
                <w:szCs w:val="20"/>
              </w:rPr>
            </w:pPr>
            <w:r w:rsidRPr="003F77CF">
              <w:rPr>
                <w:sz w:val="20"/>
                <w:szCs w:val="20"/>
              </w:rPr>
              <w:t>Partner Capacity</w:t>
            </w:r>
          </w:p>
        </w:tc>
        <w:tc>
          <w:tcPr>
            <w:tcW w:w="3969" w:type="dxa"/>
          </w:tcPr>
          <w:p w14:paraId="7BCE27E5" w14:textId="19109575" w:rsidR="00DF6B42" w:rsidRDefault="00DF6B42" w:rsidP="00DF6B42">
            <w:pPr>
              <w:pStyle w:val="ListParagraph"/>
              <w:numPr>
                <w:ilvl w:val="0"/>
                <w:numId w:val="36"/>
              </w:numPr>
              <w:rPr>
                <w:sz w:val="20"/>
                <w:szCs w:val="20"/>
                <w:lang w:val="en-US"/>
              </w:rPr>
            </w:pPr>
            <w:r w:rsidRPr="00DF6B42">
              <w:rPr>
                <w:sz w:val="20"/>
                <w:szCs w:val="20"/>
                <w:lang w:val="en-US"/>
              </w:rPr>
              <w:t>Ability to contribute to t</w:t>
            </w:r>
            <w:r>
              <w:rPr>
                <w:sz w:val="20"/>
                <w:szCs w:val="20"/>
                <w:lang w:val="en-US"/>
              </w:rPr>
              <w:t>he achievement of UNESCO’s objectives</w:t>
            </w:r>
          </w:p>
          <w:p w14:paraId="0CF24CF3" w14:textId="366039EC" w:rsidR="00DF6B42" w:rsidRPr="005A34B0" w:rsidRDefault="000D2D77" w:rsidP="005A34B0">
            <w:pPr>
              <w:pStyle w:val="ListParagraph"/>
              <w:numPr>
                <w:ilvl w:val="0"/>
                <w:numId w:val="36"/>
              </w:numPr>
              <w:rPr>
                <w:sz w:val="20"/>
                <w:szCs w:val="20"/>
                <w:lang w:val="en-US"/>
              </w:rPr>
            </w:pPr>
            <w:r w:rsidRPr="000D2D77">
              <w:rPr>
                <w:sz w:val="20"/>
                <w:szCs w:val="20"/>
                <w:lang w:val="en-US"/>
              </w:rPr>
              <w:t>Commitment to human rights, freedom of expression and gender equality</w:t>
            </w:r>
          </w:p>
          <w:p w14:paraId="2A0CFAC5" w14:textId="58421FE3" w:rsidR="00C610D9" w:rsidRDefault="00C610D9" w:rsidP="00C610D9">
            <w:pPr>
              <w:pStyle w:val="ListParagraph"/>
              <w:numPr>
                <w:ilvl w:val="0"/>
                <w:numId w:val="36"/>
              </w:numPr>
              <w:jc w:val="both"/>
              <w:rPr>
                <w:sz w:val="20"/>
                <w:szCs w:val="20"/>
              </w:rPr>
            </w:pPr>
            <w:r w:rsidRPr="003F77CF">
              <w:rPr>
                <w:sz w:val="20"/>
                <w:szCs w:val="20"/>
              </w:rPr>
              <w:t>Sound financial status</w:t>
            </w:r>
          </w:p>
          <w:p w14:paraId="16545AA9" w14:textId="155DD2E1" w:rsidR="005A34B0" w:rsidRDefault="005A34B0" w:rsidP="005A34B0">
            <w:pPr>
              <w:pStyle w:val="ListParagraph"/>
              <w:numPr>
                <w:ilvl w:val="0"/>
                <w:numId w:val="36"/>
              </w:numPr>
              <w:rPr>
                <w:sz w:val="20"/>
                <w:szCs w:val="20"/>
              </w:rPr>
            </w:pPr>
            <w:r w:rsidRPr="003F77CF">
              <w:rPr>
                <w:sz w:val="20"/>
                <w:szCs w:val="20"/>
              </w:rPr>
              <w:t>Appropriate internal control procedures</w:t>
            </w:r>
          </w:p>
          <w:p w14:paraId="25B37935" w14:textId="38B3FB32" w:rsidR="00012069" w:rsidRDefault="00012069" w:rsidP="00012069">
            <w:pPr>
              <w:pStyle w:val="ListParagraph"/>
              <w:numPr>
                <w:ilvl w:val="0"/>
                <w:numId w:val="36"/>
              </w:numPr>
              <w:rPr>
                <w:sz w:val="20"/>
                <w:szCs w:val="20"/>
                <w:lang w:val="en-US"/>
              </w:rPr>
            </w:pPr>
            <w:r w:rsidRPr="00012069">
              <w:rPr>
                <w:sz w:val="20"/>
                <w:szCs w:val="20"/>
                <w:lang w:val="en-US"/>
              </w:rPr>
              <w:t>Capacity to manage the volume of funds</w:t>
            </w:r>
            <w:r>
              <w:rPr>
                <w:sz w:val="20"/>
                <w:szCs w:val="20"/>
                <w:lang w:val="en-US"/>
              </w:rPr>
              <w:t xml:space="preserve"> and </w:t>
            </w:r>
            <w:r w:rsidRPr="00012069">
              <w:rPr>
                <w:sz w:val="20"/>
                <w:szCs w:val="20"/>
                <w:lang w:val="en-US"/>
              </w:rPr>
              <w:t>to implement activities efficiently and effectively</w:t>
            </w:r>
          </w:p>
          <w:p w14:paraId="060F1EDC" w14:textId="3368FAC3" w:rsidR="002A293F" w:rsidRPr="00012069" w:rsidRDefault="002A293F" w:rsidP="00012069">
            <w:pPr>
              <w:pStyle w:val="ListParagraph"/>
              <w:numPr>
                <w:ilvl w:val="0"/>
                <w:numId w:val="36"/>
              </w:numPr>
              <w:rPr>
                <w:sz w:val="20"/>
                <w:szCs w:val="20"/>
                <w:lang w:val="en-US"/>
              </w:rPr>
            </w:pPr>
            <w:r>
              <w:rPr>
                <w:sz w:val="20"/>
                <w:szCs w:val="20"/>
                <w:lang w:val="en-US"/>
              </w:rPr>
              <w:t>Ability to participate in planning, monitoring, and assurance activities</w:t>
            </w:r>
          </w:p>
          <w:p w14:paraId="6722FAEF" w14:textId="5DDE2940" w:rsidR="005A34B0" w:rsidRDefault="00C610D9" w:rsidP="005A34B0">
            <w:pPr>
              <w:pStyle w:val="ListParagraph"/>
              <w:numPr>
                <w:ilvl w:val="0"/>
                <w:numId w:val="36"/>
              </w:numPr>
              <w:rPr>
                <w:sz w:val="20"/>
                <w:szCs w:val="20"/>
                <w:lang w:val="en-US"/>
              </w:rPr>
            </w:pPr>
            <w:r w:rsidRPr="00F77267">
              <w:rPr>
                <w:sz w:val="20"/>
                <w:szCs w:val="20"/>
                <w:lang w:val="en-US"/>
              </w:rPr>
              <w:t>Capacity to operate in target countries/areas</w:t>
            </w:r>
          </w:p>
          <w:p w14:paraId="1FC736E5" w14:textId="5288BCB6" w:rsidR="002A788B" w:rsidRPr="002A788B" w:rsidRDefault="002A788B" w:rsidP="002A788B">
            <w:pPr>
              <w:pStyle w:val="ListParagraph"/>
              <w:numPr>
                <w:ilvl w:val="0"/>
                <w:numId w:val="36"/>
              </w:numPr>
              <w:rPr>
                <w:sz w:val="20"/>
                <w:szCs w:val="20"/>
                <w:lang w:val="en-US"/>
              </w:rPr>
            </w:pPr>
            <w:r w:rsidRPr="002A788B">
              <w:rPr>
                <w:sz w:val="20"/>
                <w:szCs w:val="20"/>
                <w:lang w:val="en-US"/>
              </w:rPr>
              <w:t>Managerial competencies and</w:t>
            </w:r>
            <w:r>
              <w:rPr>
                <w:sz w:val="20"/>
                <w:szCs w:val="20"/>
                <w:lang w:val="en-US"/>
              </w:rPr>
              <w:t xml:space="preserve"> r</w:t>
            </w:r>
            <w:r w:rsidRPr="002A788B">
              <w:rPr>
                <w:sz w:val="20"/>
                <w:szCs w:val="20"/>
                <w:lang w:val="en-US"/>
              </w:rPr>
              <w:t>ecord-keeping competencies</w:t>
            </w:r>
          </w:p>
          <w:p w14:paraId="22A3CCDA" w14:textId="77777777" w:rsidR="00C610D9" w:rsidRPr="003F77CF" w:rsidRDefault="00C610D9" w:rsidP="00C610D9">
            <w:pPr>
              <w:pStyle w:val="ListParagraph"/>
              <w:numPr>
                <w:ilvl w:val="0"/>
                <w:numId w:val="36"/>
              </w:numPr>
              <w:rPr>
                <w:sz w:val="20"/>
                <w:szCs w:val="20"/>
              </w:rPr>
            </w:pPr>
            <w:r w:rsidRPr="003F77CF">
              <w:rPr>
                <w:sz w:val="20"/>
                <w:szCs w:val="20"/>
              </w:rPr>
              <w:t>Staff</w:t>
            </w:r>
          </w:p>
        </w:tc>
        <w:tc>
          <w:tcPr>
            <w:tcW w:w="2642" w:type="dxa"/>
          </w:tcPr>
          <w:p w14:paraId="00F695CD" w14:textId="77777777" w:rsidR="00C610D9" w:rsidRPr="003F77CF" w:rsidRDefault="00C610D9" w:rsidP="006339B9">
            <w:pPr>
              <w:spacing w:line="480" w:lineRule="auto"/>
              <w:jc w:val="center"/>
              <w:rPr>
                <w:sz w:val="20"/>
                <w:szCs w:val="20"/>
              </w:rPr>
            </w:pPr>
            <w:r w:rsidRPr="003F77CF">
              <w:rPr>
                <w:sz w:val="20"/>
                <w:szCs w:val="20"/>
              </w:rPr>
              <w:t>5 points</w:t>
            </w:r>
          </w:p>
        </w:tc>
      </w:tr>
      <w:tr w:rsidR="00C610D9" w14:paraId="3ACF97BD" w14:textId="77777777" w:rsidTr="00C610D9">
        <w:tc>
          <w:tcPr>
            <w:tcW w:w="6374" w:type="dxa"/>
            <w:gridSpan w:val="2"/>
          </w:tcPr>
          <w:p w14:paraId="63F97D82" w14:textId="77777777" w:rsidR="00C610D9" w:rsidRPr="003F77CF" w:rsidRDefault="00C610D9" w:rsidP="006339B9">
            <w:pPr>
              <w:jc w:val="right"/>
              <w:rPr>
                <w:sz w:val="20"/>
                <w:szCs w:val="20"/>
              </w:rPr>
            </w:pPr>
            <w:r w:rsidRPr="003F77CF">
              <w:rPr>
                <w:sz w:val="20"/>
                <w:szCs w:val="20"/>
              </w:rPr>
              <w:lastRenderedPageBreak/>
              <w:t>Total (Maximum) Score</w:t>
            </w:r>
          </w:p>
        </w:tc>
        <w:tc>
          <w:tcPr>
            <w:tcW w:w="2642" w:type="dxa"/>
          </w:tcPr>
          <w:p w14:paraId="7550E0DE" w14:textId="77777777" w:rsidR="00C610D9" w:rsidRPr="003F77CF" w:rsidRDefault="00C610D9" w:rsidP="006339B9">
            <w:pPr>
              <w:jc w:val="center"/>
              <w:rPr>
                <w:b/>
                <w:bCs/>
                <w:sz w:val="20"/>
                <w:szCs w:val="20"/>
              </w:rPr>
            </w:pPr>
            <w:r w:rsidRPr="003F77CF">
              <w:rPr>
                <w:b/>
                <w:bCs/>
                <w:sz w:val="20"/>
                <w:szCs w:val="20"/>
              </w:rPr>
              <w:t>15 points</w:t>
            </w:r>
          </w:p>
        </w:tc>
      </w:tr>
    </w:tbl>
    <w:p w14:paraId="01D743FE" w14:textId="77777777" w:rsidR="00F61A3B" w:rsidRPr="00C610D9" w:rsidRDefault="00F61A3B" w:rsidP="00C610D9">
      <w:pPr>
        <w:spacing w:after="0" w:line="259" w:lineRule="auto"/>
        <w:jc w:val="both"/>
        <w:rPr>
          <w:sz w:val="22"/>
          <w:szCs w:val="22"/>
          <w:lang w:val="en-US"/>
        </w:rPr>
      </w:pPr>
    </w:p>
    <w:p w14:paraId="78CEBD6B" w14:textId="77777777" w:rsidR="00F61A3B" w:rsidRPr="00F61A3B" w:rsidRDefault="00F61A3B" w:rsidP="00F61A3B">
      <w:pPr>
        <w:jc w:val="both"/>
        <w:rPr>
          <w:b/>
          <w:bCs/>
          <w:i/>
          <w:iCs/>
          <w:sz w:val="22"/>
          <w:szCs w:val="22"/>
          <w:lang w:val="en-US"/>
        </w:rPr>
      </w:pPr>
      <w:r w:rsidRPr="00F61A3B">
        <w:rPr>
          <w:b/>
          <w:bCs/>
          <w:i/>
          <w:iCs/>
          <w:sz w:val="22"/>
          <w:szCs w:val="22"/>
          <w:lang w:val="en-US"/>
        </w:rPr>
        <w:t>Preselection of Proposals</w:t>
      </w:r>
    </w:p>
    <w:p w14:paraId="2E45ADE1" w14:textId="366B41BD" w:rsidR="00F61A3B" w:rsidRPr="00F61A3B" w:rsidRDefault="00F61A3B" w:rsidP="00F61A3B">
      <w:pPr>
        <w:jc w:val="both"/>
        <w:rPr>
          <w:sz w:val="22"/>
          <w:szCs w:val="22"/>
          <w:lang w:val="en-US"/>
        </w:rPr>
      </w:pPr>
      <w:r w:rsidRPr="00F61A3B">
        <w:rPr>
          <w:sz w:val="22"/>
          <w:szCs w:val="22"/>
          <w:lang w:val="en-US"/>
        </w:rPr>
        <w:t xml:space="preserve">The Selection Committee </w:t>
      </w:r>
      <w:r w:rsidR="005D034D">
        <w:rPr>
          <w:sz w:val="22"/>
          <w:szCs w:val="22"/>
          <w:lang w:val="en-US"/>
        </w:rPr>
        <w:t>will</w:t>
      </w:r>
      <w:r w:rsidRPr="00F61A3B">
        <w:rPr>
          <w:sz w:val="22"/>
          <w:szCs w:val="22"/>
          <w:lang w:val="en-US"/>
        </w:rPr>
        <w:t xml:space="preserve"> draw up a ranked list of partnership proposals, and preselect for funding those with the highest total score. UNESCO may place the highest-ranked non selected partnership proposals in a waitlist of proposals that may be offered funding if a higher-scoring project does not go ahead or if additional funds become available. UNESCO shall inform candidate partners whose proposal is placed on the waitlist and specify a date for the confirmation of the grant.</w:t>
      </w:r>
    </w:p>
    <w:p w14:paraId="422C5BE4" w14:textId="796A19D2" w:rsidR="00F61A3B" w:rsidRPr="00F61A3B" w:rsidRDefault="00F61A3B" w:rsidP="00F61A3B">
      <w:pPr>
        <w:jc w:val="both"/>
        <w:rPr>
          <w:sz w:val="22"/>
          <w:szCs w:val="22"/>
          <w:lang w:val="en-US"/>
        </w:rPr>
      </w:pPr>
      <w:r w:rsidRPr="00F61A3B">
        <w:rPr>
          <w:sz w:val="22"/>
          <w:szCs w:val="22"/>
          <w:lang w:val="en-US"/>
        </w:rPr>
        <w:t>UNESCO shall also inform candidate partners of the rejection of their proposal, though it will not be possible to provide individual feedback to each of the candidate partners whose proposals will not be selected for funding.</w:t>
      </w:r>
    </w:p>
    <w:p w14:paraId="72566E34" w14:textId="3F757A99" w:rsidR="00F61A3B" w:rsidRDefault="00F61A3B" w:rsidP="00A560FA">
      <w:pPr>
        <w:jc w:val="both"/>
        <w:rPr>
          <w:b/>
          <w:bCs/>
          <w:sz w:val="22"/>
          <w:szCs w:val="22"/>
          <w:lang w:val="en-US"/>
        </w:rPr>
      </w:pPr>
      <w:r w:rsidRPr="00F61A3B">
        <w:rPr>
          <w:b/>
          <w:bCs/>
          <w:sz w:val="22"/>
          <w:szCs w:val="22"/>
          <w:lang w:val="en-US"/>
        </w:rPr>
        <w:t xml:space="preserve">The results of the selection process shall be notified to all candidate partners via email. </w:t>
      </w:r>
    </w:p>
    <w:p w14:paraId="03F4ADB9" w14:textId="68FE96D4" w:rsidR="009D6333" w:rsidRDefault="00AF2DAF" w:rsidP="00A560FA">
      <w:pPr>
        <w:jc w:val="both"/>
        <w:rPr>
          <w:b/>
          <w:bCs/>
          <w:i/>
          <w:iCs/>
          <w:sz w:val="22"/>
          <w:szCs w:val="22"/>
          <w:lang w:val="en-US"/>
        </w:rPr>
      </w:pPr>
      <w:r>
        <w:rPr>
          <w:b/>
          <w:bCs/>
          <w:i/>
          <w:iCs/>
          <w:sz w:val="22"/>
          <w:szCs w:val="22"/>
          <w:lang w:val="en-US"/>
        </w:rPr>
        <w:t>Indicative</w:t>
      </w:r>
      <w:r w:rsidR="00255B56">
        <w:rPr>
          <w:b/>
          <w:bCs/>
          <w:i/>
          <w:iCs/>
          <w:sz w:val="22"/>
          <w:szCs w:val="22"/>
          <w:lang w:val="en-US"/>
        </w:rPr>
        <w:t xml:space="preserve"> Timeline</w:t>
      </w:r>
      <w:r w:rsidR="00BF0CC2">
        <w:rPr>
          <w:b/>
          <w:bCs/>
          <w:i/>
          <w:iCs/>
          <w:sz w:val="22"/>
          <w:szCs w:val="22"/>
          <w:lang w:val="en-US"/>
        </w:rPr>
        <w:t xml:space="preserve"> for the Call for Partnerships</w:t>
      </w:r>
    </w:p>
    <w:tbl>
      <w:tblPr>
        <w:tblStyle w:val="GridTable5Dark-Accent3"/>
        <w:tblW w:w="9067" w:type="dxa"/>
        <w:jc w:val="center"/>
        <w:tblLook w:val="04A0" w:firstRow="1" w:lastRow="0" w:firstColumn="1" w:lastColumn="0" w:noHBand="0" w:noVBand="1"/>
      </w:tblPr>
      <w:tblGrid>
        <w:gridCol w:w="421"/>
        <w:gridCol w:w="4677"/>
        <w:gridCol w:w="3969"/>
      </w:tblGrid>
      <w:tr w:rsidR="00EF4DBE" w14:paraId="199583AB" w14:textId="77777777" w:rsidTr="00EF4D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shd w:val="clear" w:color="auto" w:fill="A6A6A6" w:themeFill="background1" w:themeFillShade="A6"/>
          </w:tcPr>
          <w:p w14:paraId="4A8EB28A" w14:textId="77777777" w:rsidR="00EF4DBE" w:rsidRDefault="00EF4DBE" w:rsidP="0070033C">
            <w:pPr>
              <w:jc w:val="both"/>
            </w:pPr>
          </w:p>
        </w:tc>
        <w:tc>
          <w:tcPr>
            <w:tcW w:w="4677" w:type="dxa"/>
            <w:shd w:val="clear" w:color="auto" w:fill="A6A6A6" w:themeFill="background1" w:themeFillShade="A6"/>
          </w:tcPr>
          <w:p w14:paraId="5F642203" w14:textId="77777777" w:rsidR="00EF4DBE" w:rsidRDefault="00EF4DBE" w:rsidP="0070033C">
            <w:pPr>
              <w:jc w:val="center"/>
              <w:cnfStyle w:val="100000000000" w:firstRow="1" w:lastRow="0" w:firstColumn="0" w:lastColumn="0" w:oddVBand="0" w:evenVBand="0" w:oddHBand="0" w:evenHBand="0" w:firstRowFirstColumn="0" w:firstRowLastColumn="0" w:lastRowFirstColumn="0" w:lastRowLastColumn="0"/>
            </w:pPr>
            <w:r>
              <w:t>STAGES</w:t>
            </w:r>
          </w:p>
        </w:tc>
        <w:tc>
          <w:tcPr>
            <w:tcW w:w="3969" w:type="dxa"/>
            <w:shd w:val="clear" w:color="auto" w:fill="A6A6A6" w:themeFill="background1" w:themeFillShade="A6"/>
          </w:tcPr>
          <w:p w14:paraId="1F79AAAD" w14:textId="77777777" w:rsidR="00EF4DBE" w:rsidRDefault="00EF4DBE" w:rsidP="0070033C">
            <w:pPr>
              <w:jc w:val="center"/>
              <w:cnfStyle w:val="100000000000" w:firstRow="1" w:lastRow="0" w:firstColumn="0" w:lastColumn="0" w:oddVBand="0" w:evenVBand="0" w:oddHBand="0" w:evenHBand="0" w:firstRowFirstColumn="0" w:firstRowLastColumn="0" w:lastRowFirstColumn="0" w:lastRowLastColumn="0"/>
            </w:pPr>
            <w:r>
              <w:t>INDICATIVE PERIOD</w:t>
            </w:r>
          </w:p>
        </w:tc>
      </w:tr>
      <w:tr w:rsidR="00EF4DBE" w14:paraId="5F4F58A9" w14:textId="77777777" w:rsidTr="00EF4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shd w:val="clear" w:color="auto" w:fill="A6A6A6" w:themeFill="background1" w:themeFillShade="A6"/>
          </w:tcPr>
          <w:p w14:paraId="17E90247" w14:textId="77777777" w:rsidR="00EF4DBE" w:rsidRDefault="00EF4DBE" w:rsidP="0070033C">
            <w:pPr>
              <w:jc w:val="both"/>
            </w:pPr>
            <w:r>
              <w:t>1</w:t>
            </w:r>
          </w:p>
        </w:tc>
        <w:tc>
          <w:tcPr>
            <w:tcW w:w="4677" w:type="dxa"/>
            <w:shd w:val="clear" w:color="auto" w:fill="D1D1D1" w:themeFill="background2" w:themeFillShade="E6"/>
          </w:tcPr>
          <w:p w14:paraId="61091863" w14:textId="77777777" w:rsidR="00EF4DBE" w:rsidRDefault="00EF4DBE" w:rsidP="0070033C">
            <w:pPr>
              <w:jc w:val="both"/>
              <w:cnfStyle w:val="000000100000" w:firstRow="0" w:lastRow="0" w:firstColumn="0" w:lastColumn="0" w:oddVBand="0" w:evenVBand="0" w:oddHBand="1" w:evenHBand="0" w:firstRowFirstColumn="0" w:firstRowLastColumn="0" w:lastRowFirstColumn="0" w:lastRowLastColumn="0"/>
            </w:pPr>
            <w:r>
              <w:t>Launch and publication of the Call</w:t>
            </w:r>
          </w:p>
        </w:tc>
        <w:tc>
          <w:tcPr>
            <w:tcW w:w="3969" w:type="dxa"/>
            <w:shd w:val="clear" w:color="auto" w:fill="D1D1D1" w:themeFill="background2" w:themeFillShade="E6"/>
          </w:tcPr>
          <w:p w14:paraId="34F96974" w14:textId="703C6C80" w:rsidR="00EF4DBE" w:rsidRDefault="0032001A" w:rsidP="0070033C">
            <w:pPr>
              <w:jc w:val="center"/>
              <w:cnfStyle w:val="000000100000" w:firstRow="0" w:lastRow="0" w:firstColumn="0" w:lastColumn="0" w:oddVBand="0" w:evenVBand="0" w:oddHBand="1" w:evenHBand="0" w:firstRowFirstColumn="0" w:firstRowLastColumn="0" w:lastRowFirstColumn="0" w:lastRowLastColumn="0"/>
            </w:pPr>
            <w:r>
              <w:t>2 September 2024</w:t>
            </w:r>
          </w:p>
        </w:tc>
      </w:tr>
      <w:tr w:rsidR="00EF4DBE" w14:paraId="254A2DAA" w14:textId="77777777" w:rsidTr="00EF4DBE">
        <w:trPr>
          <w:jc w:val="center"/>
        </w:trPr>
        <w:tc>
          <w:tcPr>
            <w:cnfStyle w:val="001000000000" w:firstRow="0" w:lastRow="0" w:firstColumn="1" w:lastColumn="0" w:oddVBand="0" w:evenVBand="0" w:oddHBand="0" w:evenHBand="0" w:firstRowFirstColumn="0" w:firstRowLastColumn="0" w:lastRowFirstColumn="0" w:lastRowLastColumn="0"/>
            <w:tcW w:w="421" w:type="dxa"/>
            <w:shd w:val="clear" w:color="auto" w:fill="A6A6A6" w:themeFill="background1" w:themeFillShade="A6"/>
          </w:tcPr>
          <w:p w14:paraId="02093D37" w14:textId="77777777" w:rsidR="00EF4DBE" w:rsidRDefault="00EF4DBE" w:rsidP="0070033C">
            <w:pPr>
              <w:jc w:val="both"/>
            </w:pPr>
            <w:r>
              <w:t>2</w:t>
            </w:r>
          </w:p>
        </w:tc>
        <w:tc>
          <w:tcPr>
            <w:tcW w:w="4677" w:type="dxa"/>
            <w:shd w:val="clear" w:color="auto" w:fill="F2F2F2" w:themeFill="background1" w:themeFillShade="F2"/>
          </w:tcPr>
          <w:p w14:paraId="377E1716" w14:textId="77777777" w:rsidR="00EF4DBE" w:rsidRDefault="00EF4DBE" w:rsidP="0070033C">
            <w:pPr>
              <w:jc w:val="both"/>
              <w:cnfStyle w:val="000000000000" w:firstRow="0" w:lastRow="0" w:firstColumn="0" w:lastColumn="0" w:oddVBand="0" w:evenVBand="0" w:oddHBand="0" w:evenHBand="0" w:firstRowFirstColumn="0" w:firstRowLastColumn="0" w:lastRowFirstColumn="0" w:lastRowLastColumn="0"/>
            </w:pPr>
            <w:r>
              <w:t>Deadline for submitting partnership proposals</w:t>
            </w:r>
          </w:p>
        </w:tc>
        <w:tc>
          <w:tcPr>
            <w:tcW w:w="3969" w:type="dxa"/>
            <w:shd w:val="clear" w:color="auto" w:fill="F2F2F2" w:themeFill="background1" w:themeFillShade="F2"/>
          </w:tcPr>
          <w:p w14:paraId="7B4871FF" w14:textId="56ACBD69" w:rsidR="00EF4DBE" w:rsidRDefault="00C21F7C" w:rsidP="0070033C">
            <w:pPr>
              <w:jc w:val="center"/>
              <w:cnfStyle w:val="000000000000" w:firstRow="0" w:lastRow="0" w:firstColumn="0" w:lastColumn="0" w:oddVBand="0" w:evenVBand="0" w:oddHBand="0" w:evenHBand="0" w:firstRowFirstColumn="0" w:firstRowLastColumn="0" w:lastRowFirstColumn="0" w:lastRowLastColumn="0"/>
            </w:pPr>
            <w:r>
              <w:t xml:space="preserve">18 </w:t>
            </w:r>
            <w:r w:rsidR="00EF4DBE">
              <w:t>October 2024</w:t>
            </w:r>
          </w:p>
        </w:tc>
      </w:tr>
      <w:tr w:rsidR="00EF4DBE" w14:paraId="5AF47D34" w14:textId="77777777" w:rsidTr="00EF4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shd w:val="clear" w:color="auto" w:fill="A6A6A6" w:themeFill="background1" w:themeFillShade="A6"/>
          </w:tcPr>
          <w:p w14:paraId="29C68722" w14:textId="77777777" w:rsidR="00EF4DBE" w:rsidRDefault="00EF4DBE" w:rsidP="0070033C">
            <w:pPr>
              <w:jc w:val="both"/>
            </w:pPr>
            <w:r>
              <w:t>3</w:t>
            </w:r>
          </w:p>
        </w:tc>
        <w:tc>
          <w:tcPr>
            <w:tcW w:w="4677" w:type="dxa"/>
            <w:shd w:val="clear" w:color="auto" w:fill="D1D1D1" w:themeFill="background2" w:themeFillShade="E6"/>
          </w:tcPr>
          <w:p w14:paraId="403AFBEB" w14:textId="77777777" w:rsidR="00EF4DBE" w:rsidRDefault="00EF4DBE" w:rsidP="0070033C">
            <w:pPr>
              <w:jc w:val="both"/>
              <w:cnfStyle w:val="000000100000" w:firstRow="0" w:lastRow="0" w:firstColumn="0" w:lastColumn="0" w:oddVBand="0" w:evenVBand="0" w:oddHBand="1" w:evenHBand="0" w:firstRowFirstColumn="0" w:firstRowLastColumn="0" w:lastRowFirstColumn="0" w:lastRowLastColumn="0"/>
            </w:pPr>
            <w:r>
              <w:t>Evaluation and selection period</w:t>
            </w:r>
          </w:p>
        </w:tc>
        <w:tc>
          <w:tcPr>
            <w:tcW w:w="3969" w:type="dxa"/>
            <w:shd w:val="clear" w:color="auto" w:fill="D1D1D1" w:themeFill="background2" w:themeFillShade="E6"/>
          </w:tcPr>
          <w:p w14:paraId="31DF34AC" w14:textId="77777777" w:rsidR="00EF4DBE" w:rsidRDefault="00EF4DBE" w:rsidP="0070033C">
            <w:pPr>
              <w:jc w:val="center"/>
              <w:cnfStyle w:val="000000100000" w:firstRow="0" w:lastRow="0" w:firstColumn="0" w:lastColumn="0" w:oddVBand="0" w:evenVBand="0" w:oddHBand="1" w:evenHBand="0" w:firstRowFirstColumn="0" w:firstRowLastColumn="0" w:lastRowFirstColumn="0" w:lastRowLastColumn="0"/>
            </w:pPr>
            <w:r>
              <w:t>October – December 2024</w:t>
            </w:r>
          </w:p>
        </w:tc>
      </w:tr>
      <w:tr w:rsidR="00EF4DBE" w14:paraId="49678F25" w14:textId="77777777" w:rsidTr="00EF4DBE">
        <w:trPr>
          <w:jc w:val="center"/>
        </w:trPr>
        <w:tc>
          <w:tcPr>
            <w:cnfStyle w:val="001000000000" w:firstRow="0" w:lastRow="0" w:firstColumn="1" w:lastColumn="0" w:oddVBand="0" w:evenVBand="0" w:oddHBand="0" w:evenHBand="0" w:firstRowFirstColumn="0" w:firstRowLastColumn="0" w:lastRowFirstColumn="0" w:lastRowLastColumn="0"/>
            <w:tcW w:w="421" w:type="dxa"/>
            <w:shd w:val="clear" w:color="auto" w:fill="A6A6A6" w:themeFill="background1" w:themeFillShade="A6"/>
          </w:tcPr>
          <w:p w14:paraId="7074221C" w14:textId="77777777" w:rsidR="00EF4DBE" w:rsidRDefault="00EF4DBE" w:rsidP="0070033C">
            <w:pPr>
              <w:jc w:val="both"/>
            </w:pPr>
            <w:r>
              <w:t>4</w:t>
            </w:r>
          </w:p>
        </w:tc>
        <w:tc>
          <w:tcPr>
            <w:tcW w:w="4677" w:type="dxa"/>
            <w:shd w:val="clear" w:color="auto" w:fill="F2F2F2" w:themeFill="background1" w:themeFillShade="F2"/>
          </w:tcPr>
          <w:p w14:paraId="324D6D6E" w14:textId="77777777" w:rsidR="00EF4DBE" w:rsidRDefault="00EF4DBE" w:rsidP="0070033C">
            <w:pPr>
              <w:jc w:val="both"/>
              <w:cnfStyle w:val="000000000000" w:firstRow="0" w:lastRow="0" w:firstColumn="0" w:lastColumn="0" w:oddVBand="0" w:evenVBand="0" w:oddHBand="0" w:evenHBand="0" w:firstRowFirstColumn="0" w:firstRowLastColumn="0" w:lastRowFirstColumn="0" w:lastRowLastColumn="0"/>
            </w:pPr>
            <w:r>
              <w:t>Notification of results to applicants</w:t>
            </w:r>
          </w:p>
        </w:tc>
        <w:tc>
          <w:tcPr>
            <w:tcW w:w="3969" w:type="dxa"/>
            <w:shd w:val="clear" w:color="auto" w:fill="F2F2F2" w:themeFill="background1" w:themeFillShade="F2"/>
          </w:tcPr>
          <w:p w14:paraId="5F6BE61B" w14:textId="77777777" w:rsidR="00EF4DBE" w:rsidRDefault="00EF4DBE" w:rsidP="0070033C">
            <w:pPr>
              <w:jc w:val="center"/>
              <w:cnfStyle w:val="000000000000" w:firstRow="0" w:lastRow="0" w:firstColumn="0" w:lastColumn="0" w:oddVBand="0" w:evenVBand="0" w:oddHBand="0" w:evenHBand="0" w:firstRowFirstColumn="0" w:firstRowLastColumn="0" w:lastRowFirstColumn="0" w:lastRowLastColumn="0"/>
            </w:pPr>
            <w:r>
              <w:t>December 2024 – January 2025</w:t>
            </w:r>
          </w:p>
        </w:tc>
      </w:tr>
      <w:tr w:rsidR="00EF4DBE" w14:paraId="05A643B9" w14:textId="77777777" w:rsidTr="00EF4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shd w:val="clear" w:color="auto" w:fill="A6A6A6" w:themeFill="background1" w:themeFillShade="A6"/>
          </w:tcPr>
          <w:p w14:paraId="24EB6984" w14:textId="77777777" w:rsidR="00EF4DBE" w:rsidRDefault="00EF4DBE" w:rsidP="0070033C">
            <w:pPr>
              <w:jc w:val="both"/>
            </w:pPr>
            <w:r>
              <w:t>5</w:t>
            </w:r>
          </w:p>
        </w:tc>
        <w:tc>
          <w:tcPr>
            <w:tcW w:w="4677" w:type="dxa"/>
            <w:shd w:val="clear" w:color="auto" w:fill="D1D1D1" w:themeFill="background2" w:themeFillShade="E6"/>
          </w:tcPr>
          <w:p w14:paraId="763BB615" w14:textId="77777777" w:rsidR="00EF4DBE" w:rsidRDefault="00EF4DBE" w:rsidP="0070033C">
            <w:pPr>
              <w:jc w:val="both"/>
              <w:cnfStyle w:val="000000100000" w:firstRow="0" w:lastRow="0" w:firstColumn="0" w:lastColumn="0" w:oddVBand="0" w:evenVBand="0" w:oddHBand="1" w:evenHBand="0" w:firstRowFirstColumn="0" w:firstRowLastColumn="0" w:lastRowFirstColumn="0" w:lastRowLastColumn="0"/>
            </w:pPr>
            <w:r>
              <w:t>Launch of the contracting process</w:t>
            </w:r>
          </w:p>
        </w:tc>
        <w:tc>
          <w:tcPr>
            <w:tcW w:w="3969" w:type="dxa"/>
            <w:shd w:val="clear" w:color="auto" w:fill="D1D1D1" w:themeFill="background2" w:themeFillShade="E6"/>
          </w:tcPr>
          <w:p w14:paraId="6BC52841" w14:textId="77777777" w:rsidR="00EF4DBE" w:rsidRDefault="00EF4DBE" w:rsidP="0070033C">
            <w:pPr>
              <w:jc w:val="center"/>
              <w:cnfStyle w:val="000000100000" w:firstRow="0" w:lastRow="0" w:firstColumn="0" w:lastColumn="0" w:oddVBand="0" w:evenVBand="0" w:oddHBand="1" w:evenHBand="0" w:firstRowFirstColumn="0" w:firstRowLastColumn="0" w:lastRowFirstColumn="0" w:lastRowLastColumn="0"/>
            </w:pPr>
            <w:r>
              <w:t>January – February 2025</w:t>
            </w:r>
          </w:p>
        </w:tc>
      </w:tr>
    </w:tbl>
    <w:p w14:paraId="20CC91FF" w14:textId="77777777" w:rsidR="00BF0CC2" w:rsidRPr="00255B56" w:rsidRDefault="00BF0CC2" w:rsidP="00A560FA">
      <w:pPr>
        <w:jc w:val="both"/>
        <w:rPr>
          <w:b/>
          <w:bCs/>
          <w:i/>
          <w:iCs/>
          <w:sz w:val="22"/>
          <w:szCs w:val="22"/>
          <w:lang w:val="en-US"/>
        </w:rPr>
      </w:pPr>
    </w:p>
    <w:p w14:paraId="6ADB08BC" w14:textId="0A66CFB2" w:rsidR="004047E5" w:rsidRPr="008F0819" w:rsidRDefault="004047E5" w:rsidP="004047E5">
      <w:pPr>
        <w:shd w:val="clear" w:color="auto" w:fill="215E99" w:themeFill="text2" w:themeFillTint="BF"/>
        <w:tabs>
          <w:tab w:val="center" w:pos="4536"/>
          <w:tab w:val="left" w:pos="7095"/>
        </w:tabs>
        <w:spacing w:before="240" w:after="100" w:afterAutospacing="1"/>
        <w:jc w:val="both"/>
        <w:outlineLvl w:val="2"/>
        <w:rPr>
          <w:rFonts w:cs="Arial"/>
          <w:b/>
          <w:bCs/>
          <w:color w:val="FFFFFF" w:themeColor="background1"/>
          <w:sz w:val="44"/>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VI</w:t>
      </w:r>
      <w:r w:rsidRPr="00207654">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CONTRACTING PROCESS AND PROJECT IMPLEMENTATION</w:t>
      </w:r>
    </w:p>
    <w:tbl>
      <w:tblPr>
        <w:tblStyle w:val="TableGrid"/>
        <w:tblW w:w="0" w:type="auto"/>
        <w:tblLook w:val="04A0" w:firstRow="1" w:lastRow="0" w:firstColumn="1" w:lastColumn="0" w:noHBand="0" w:noVBand="1"/>
      </w:tblPr>
      <w:tblGrid>
        <w:gridCol w:w="9016"/>
      </w:tblGrid>
      <w:tr w:rsidR="006C6670" w:rsidRPr="00870E95" w14:paraId="66138A9C" w14:textId="77777777" w:rsidTr="00F16F02">
        <w:tc>
          <w:tcPr>
            <w:tcW w:w="9016" w:type="dxa"/>
            <w:tcBorders>
              <w:top w:val="dashed" w:sz="4" w:space="0" w:color="auto"/>
              <w:left w:val="dashed" w:sz="4" w:space="0" w:color="auto"/>
              <w:bottom w:val="dashed" w:sz="4" w:space="0" w:color="auto"/>
              <w:right w:val="dashed" w:sz="4" w:space="0" w:color="auto"/>
            </w:tcBorders>
          </w:tcPr>
          <w:p w14:paraId="1F7F0A5D" w14:textId="338BB1AB" w:rsidR="006C6670" w:rsidRPr="00870E95" w:rsidRDefault="006C6670" w:rsidP="00F16F02">
            <w:pPr>
              <w:jc w:val="center"/>
              <w:rPr>
                <w:rFonts w:ascii="Calibri" w:hAnsi="Calibri" w:cs="Calibri"/>
                <w:b/>
                <w:bCs/>
                <w:color w:val="0C3512" w:themeColor="accent3"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70E95">
              <w:rPr>
                <w:rFonts w:ascii="Calibri" w:hAnsi="Calibri" w:cs="Calibri"/>
                <w:b/>
                <w:bCs/>
                <w:color w:val="0C3512" w:themeColor="accent3"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FROM </w:t>
            </w:r>
            <w:r w:rsidR="00FB4311">
              <w:rPr>
                <w:rFonts w:ascii="Calibri" w:hAnsi="Calibri" w:cs="Calibri"/>
                <w:b/>
                <w:bCs/>
                <w:color w:val="0C3512" w:themeColor="accent3"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ASSESSMENT</w:t>
            </w:r>
            <w:r w:rsidRPr="00870E95">
              <w:rPr>
                <w:rFonts w:ascii="Calibri" w:hAnsi="Calibri" w:cs="Calibri"/>
                <w:b/>
                <w:bCs/>
                <w:color w:val="0C3512" w:themeColor="accent3"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TO THE SIGNATURE OF AN IMPLEMENTATION PARTNERS</w:t>
            </w:r>
            <w:r w:rsidR="0032298A">
              <w:rPr>
                <w:rFonts w:ascii="Calibri" w:hAnsi="Calibri" w:cs="Calibri"/>
                <w:b/>
                <w:bCs/>
                <w:color w:val="0C3512" w:themeColor="accent3"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870E95">
              <w:rPr>
                <w:rFonts w:ascii="Calibri" w:hAnsi="Calibri" w:cs="Calibri"/>
                <w:b/>
                <w:bCs/>
                <w:color w:val="0C3512" w:themeColor="accent3"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AGREEMENT</w:t>
            </w:r>
          </w:p>
          <w:p w14:paraId="67BD5931" w14:textId="77777777" w:rsidR="006C6670" w:rsidRPr="00870E95" w:rsidRDefault="006C6670" w:rsidP="00F16F02">
            <w:pPr>
              <w:jc w:val="center"/>
              <w:rPr>
                <w:rFonts w:ascii="Calibri" w:hAnsi="Calibri" w:cs="Calibri"/>
                <w:b/>
                <w:bCs/>
              </w:rPr>
            </w:pPr>
            <w:r w:rsidRPr="00870E95">
              <w:rPr>
                <w:rFonts w:ascii="Calibri" w:hAnsi="Calibri" w:cs="Calibri"/>
                <w:b/>
                <w:bCs/>
                <w:noProof/>
              </w:rPr>
              <w:drawing>
                <wp:inline distT="0" distB="0" distL="0" distR="0" wp14:anchorId="16B96C66" wp14:editId="6710EF6D">
                  <wp:extent cx="5429250" cy="962025"/>
                  <wp:effectExtent l="0" t="0" r="381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c>
      </w:tr>
    </w:tbl>
    <w:p w14:paraId="78563D6A" w14:textId="77777777" w:rsidR="006C6670" w:rsidRDefault="006C6670" w:rsidP="004047E5">
      <w:pPr>
        <w:jc w:val="both"/>
        <w:rPr>
          <w:sz w:val="22"/>
          <w:szCs w:val="22"/>
          <w:lang w:val="en-US"/>
        </w:rPr>
      </w:pPr>
    </w:p>
    <w:p w14:paraId="26402EAD" w14:textId="5C4C9454" w:rsidR="00403BE7" w:rsidRPr="00403BE7" w:rsidRDefault="00403BE7" w:rsidP="00403BE7">
      <w:pPr>
        <w:jc w:val="both"/>
        <w:rPr>
          <w:sz w:val="22"/>
          <w:szCs w:val="22"/>
          <w:highlight w:val="lightGray"/>
          <w:lang w:val="en-US"/>
        </w:rPr>
      </w:pPr>
      <w:r w:rsidRPr="00403BE7">
        <w:rPr>
          <w:b/>
          <w:bCs/>
          <w:sz w:val="22"/>
          <w:szCs w:val="22"/>
          <w:highlight w:val="lightGray"/>
          <w:lang w:val="en-US"/>
        </w:rPr>
        <w:t xml:space="preserve">6.1.  TERMS OF REFERENCE </w:t>
      </w:r>
      <w:r>
        <w:rPr>
          <w:b/>
          <w:bCs/>
          <w:sz w:val="22"/>
          <w:szCs w:val="22"/>
          <w:highlight w:val="lightGray"/>
          <w:lang w:val="en-US"/>
        </w:rPr>
        <w:t>OF THE AGREEMENT &amp;</w:t>
      </w:r>
      <w:r w:rsidRPr="00403BE7">
        <w:rPr>
          <w:b/>
          <w:bCs/>
          <w:sz w:val="22"/>
          <w:szCs w:val="22"/>
          <w:highlight w:val="lightGray"/>
          <w:lang w:val="en-US"/>
        </w:rPr>
        <w:t xml:space="preserve"> STREAMLINING OF ACTIVITIES/BUDGET</w:t>
      </w:r>
    </w:p>
    <w:p w14:paraId="074B7AAB" w14:textId="154F57E9" w:rsidR="00403BE7" w:rsidRPr="00403BE7" w:rsidRDefault="00403BE7" w:rsidP="00403BE7">
      <w:pPr>
        <w:jc w:val="both"/>
        <w:rPr>
          <w:sz w:val="22"/>
          <w:szCs w:val="22"/>
          <w:lang w:val="en-US"/>
        </w:rPr>
      </w:pPr>
      <w:r w:rsidRPr="00403BE7">
        <w:rPr>
          <w:sz w:val="22"/>
          <w:szCs w:val="22"/>
          <w:lang w:val="en-US"/>
        </w:rPr>
        <w:t>Following the preselection</w:t>
      </w:r>
      <w:r w:rsidRPr="00403BE7">
        <w:rPr>
          <w:rStyle w:val="FootnoteReference"/>
          <w:sz w:val="22"/>
          <w:szCs w:val="22"/>
        </w:rPr>
        <w:footnoteReference w:id="7"/>
      </w:r>
      <w:r w:rsidRPr="00403BE7">
        <w:rPr>
          <w:sz w:val="22"/>
          <w:szCs w:val="22"/>
          <w:lang w:val="en-US"/>
        </w:rPr>
        <w:t xml:space="preserve"> of a candidate partner, UNESCO shall invite them to start preparations for the streamlining, where necessary, and/or the negotiation of the Terms of Reference (T</w:t>
      </w:r>
      <w:r w:rsidR="00756EBD">
        <w:rPr>
          <w:sz w:val="22"/>
          <w:szCs w:val="22"/>
          <w:lang w:val="en-US"/>
        </w:rPr>
        <w:t>O</w:t>
      </w:r>
      <w:r w:rsidRPr="00403BE7">
        <w:rPr>
          <w:sz w:val="22"/>
          <w:szCs w:val="22"/>
          <w:lang w:val="en-US"/>
        </w:rPr>
        <w:t xml:space="preserve">Rs) of the </w:t>
      </w:r>
      <w:r w:rsidRPr="0032298A">
        <w:rPr>
          <w:sz w:val="22"/>
          <w:szCs w:val="22"/>
          <w:lang w:val="en-US"/>
        </w:rPr>
        <w:t>Implementation Partners</w:t>
      </w:r>
      <w:r w:rsidR="0032298A" w:rsidRPr="0032298A">
        <w:rPr>
          <w:sz w:val="22"/>
          <w:szCs w:val="22"/>
          <w:lang w:val="en-US"/>
        </w:rPr>
        <w:t>’</w:t>
      </w:r>
      <w:r w:rsidRPr="0032298A">
        <w:rPr>
          <w:sz w:val="22"/>
          <w:szCs w:val="22"/>
          <w:lang w:val="en-US"/>
        </w:rPr>
        <w:t xml:space="preserve"> Agreement</w:t>
      </w:r>
      <w:r w:rsidRPr="00403BE7">
        <w:rPr>
          <w:sz w:val="22"/>
          <w:szCs w:val="22"/>
          <w:lang w:val="en-US"/>
        </w:rPr>
        <w:t xml:space="preserve"> (IPA) that shall be drawn up between the Organization and the preselected partner, in accordance with UNESCO’s administrative rules and regulations. </w:t>
      </w:r>
    </w:p>
    <w:p w14:paraId="75ADA119" w14:textId="4DF4F81B" w:rsidR="00403BE7" w:rsidRPr="00403BE7" w:rsidRDefault="00403BE7" w:rsidP="00403BE7">
      <w:pPr>
        <w:jc w:val="both"/>
        <w:rPr>
          <w:sz w:val="22"/>
          <w:szCs w:val="22"/>
          <w:lang w:val="en-US"/>
        </w:rPr>
      </w:pPr>
      <w:r w:rsidRPr="00403BE7">
        <w:rPr>
          <w:sz w:val="22"/>
          <w:szCs w:val="22"/>
          <w:lang w:val="en-US"/>
        </w:rPr>
        <w:lastRenderedPageBreak/>
        <w:t xml:space="preserve">The full terms and conditions of the IPAs are available in </w:t>
      </w:r>
      <w:r w:rsidR="00756EBD">
        <w:rPr>
          <w:sz w:val="22"/>
          <w:szCs w:val="22"/>
          <w:lang w:val="en-US"/>
        </w:rPr>
        <w:t>the</w:t>
      </w:r>
      <w:r w:rsidRPr="00403BE7">
        <w:rPr>
          <w:sz w:val="22"/>
          <w:szCs w:val="22"/>
          <w:lang w:val="en-US"/>
        </w:rPr>
        <w:t xml:space="preserve"> Implementation Partners’ Agreement template</w:t>
      </w:r>
      <w:r w:rsidR="00756EBD">
        <w:rPr>
          <w:sz w:val="22"/>
          <w:szCs w:val="22"/>
          <w:lang w:val="en-US"/>
        </w:rPr>
        <w:t xml:space="preserve"> (Annex </w:t>
      </w:r>
      <w:r w:rsidR="00973F8C">
        <w:rPr>
          <w:sz w:val="22"/>
          <w:szCs w:val="22"/>
          <w:lang w:val="en-US"/>
        </w:rPr>
        <w:t>5</w:t>
      </w:r>
      <w:r w:rsidR="00756EBD">
        <w:rPr>
          <w:sz w:val="22"/>
          <w:szCs w:val="22"/>
          <w:lang w:val="en-US"/>
        </w:rPr>
        <w:t>,</w:t>
      </w:r>
      <w:r w:rsidRPr="00403BE7">
        <w:rPr>
          <w:sz w:val="22"/>
          <w:szCs w:val="22"/>
          <w:lang w:val="en-US"/>
        </w:rPr>
        <w:t xml:space="preserve"> shared for the purposes of enabling candidate partners to familiarize themselves with the standard terms and conditions of an IPA).</w:t>
      </w:r>
    </w:p>
    <w:p w14:paraId="210A3804" w14:textId="3392DC64" w:rsidR="00403BE7" w:rsidRDefault="00403BE7" w:rsidP="00403BE7">
      <w:pPr>
        <w:jc w:val="both"/>
        <w:rPr>
          <w:sz w:val="22"/>
          <w:szCs w:val="22"/>
          <w:lang w:val="en-US"/>
        </w:rPr>
      </w:pPr>
      <w:r w:rsidRPr="00403BE7">
        <w:rPr>
          <w:sz w:val="22"/>
          <w:szCs w:val="22"/>
          <w:lang w:val="en-US"/>
        </w:rPr>
        <w:t>If there are unreasonable delays in the finalization of the IPA through no fault of UNESCO, or if it is not possible to reach an agreement on the T</w:t>
      </w:r>
      <w:r w:rsidR="00EA00D4">
        <w:rPr>
          <w:sz w:val="22"/>
          <w:szCs w:val="22"/>
          <w:lang w:val="en-US"/>
        </w:rPr>
        <w:t>O</w:t>
      </w:r>
      <w:r w:rsidRPr="00403BE7">
        <w:rPr>
          <w:sz w:val="22"/>
          <w:szCs w:val="22"/>
          <w:lang w:val="en-US"/>
        </w:rPr>
        <w:t xml:space="preserve">Rs and/or other contents of the IPA, </w:t>
      </w:r>
      <w:r w:rsidR="00EA00D4">
        <w:rPr>
          <w:sz w:val="22"/>
          <w:szCs w:val="22"/>
          <w:lang w:val="en-US"/>
        </w:rPr>
        <w:t xml:space="preserve">or if the </w:t>
      </w:r>
      <w:r w:rsidR="00D3565B">
        <w:rPr>
          <w:sz w:val="22"/>
          <w:szCs w:val="22"/>
          <w:lang w:val="en-US"/>
        </w:rPr>
        <w:t xml:space="preserve">results of the </w:t>
      </w:r>
      <w:r w:rsidR="0035057D">
        <w:rPr>
          <w:sz w:val="22"/>
          <w:szCs w:val="22"/>
          <w:lang w:val="en-US"/>
        </w:rPr>
        <w:t xml:space="preserve">final review </w:t>
      </w:r>
      <w:r w:rsidR="00D3565B">
        <w:rPr>
          <w:sz w:val="22"/>
          <w:szCs w:val="22"/>
          <w:lang w:val="en-US"/>
        </w:rPr>
        <w:t xml:space="preserve">process to be undertaken by the Organization </w:t>
      </w:r>
      <w:r w:rsidR="007312F6">
        <w:rPr>
          <w:sz w:val="22"/>
          <w:szCs w:val="22"/>
          <w:lang w:val="en-US"/>
        </w:rPr>
        <w:t xml:space="preserve">are </w:t>
      </w:r>
      <w:r w:rsidR="00D3565B">
        <w:rPr>
          <w:sz w:val="22"/>
          <w:szCs w:val="22"/>
          <w:lang w:val="en-US"/>
        </w:rPr>
        <w:t>unfavorable,</w:t>
      </w:r>
      <w:r w:rsidR="00EA00D4">
        <w:rPr>
          <w:sz w:val="22"/>
          <w:szCs w:val="22"/>
          <w:lang w:val="en-US"/>
        </w:rPr>
        <w:t xml:space="preserve"> </w:t>
      </w:r>
      <w:r w:rsidRPr="00403BE7">
        <w:rPr>
          <w:sz w:val="22"/>
          <w:szCs w:val="22"/>
          <w:lang w:val="en-US"/>
        </w:rPr>
        <w:t>the grant offer may be withdrawn, and the grant</w:t>
      </w:r>
      <w:r w:rsidR="00CF2BA0">
        <w:rPr>
          <w:sz w:val="22"/>
          <w:szCs w:val="22"/>
          <w:lang w:val="en-US"/>
        </w:rPr>
        <w:t xml:space="preserve"> may or may not be</w:t>
      </w:r>
      <w:r w:rsidRPr="00403BE7">
        <w:rPr>
          <w:sz w:val="22"/>
          <w:szCs w:val="22"/>
          <w:lang w:val="en-US"/>
        </w:rPr>
        <w:t xml:space="preserve"> awarded to a different candidate </w:t>
      </w:r>
      <w:r w:rsidR="00CF2BA0">
        <w:rPr>
          <w:sz w:val="22"/>
          <w:szCs w:val="22"/>
          <w:lang w:val="en-US"/>
        </w:rPr>
        <w:t>organization.</w:t>
      </w:r>
    </w:p>
    <w:p w14:paraId="1D99AC92" w14:textId="42EE171C" w:rsidR="00C94667" w:rsidRPr="00403BE7" w:rsidRDefault="00C94667" w:rsidP="00C94667">
      <w:pPr>
        <w:jc w:val="both"/>
        <w:rPr>
          <w:sz w:val="22"/>
          <w:szCs w:val="22"/>
          <w:highlight w:val="lightGray"/>
          <w:lang w:val="en-US"/>
        </w:rPr>
      </w:pPr>
      <w:r w:rsidRPr="00403BE7">
        <w:rPr>
          <w:b/>
          <w:bCs/>
          <w:sz w:val="22"/>
          <w:szCs w:val="22"/>
          <w:highlight w:val="lightGray"/>
          <w:lang w:val="en-US"/>
        </w:rPr>
        <w:t>6.</w:t>
      </w:r>
      <w:r>
        <w:rPr>
          <w:b/>
          <w:bCs/>
          <w:sz w:val="22"/>
          <w:szCs w:val="22"/>
          <w:highlight w:val="lightGray"/>
          <w:lang w:val="en-US"/>
        </w:rPr>
        <w:t>2</w:t>
      </w:r>
      <w:r w:rsidRPr="00403BE7">
        <w:rPr>
          <w:b/>
          <w:bCs/>
          <w:sz w:val="22"/>
          <w:szCs w:val="22"/>
          <w:highlight w:val="lightGray"/>
          <w:lang w:val="en-US"/>
        </w:rPr>
        <w:t xml:space="preserve">.  </w:t>
      </w:r>
      <w:r>
        <w:rPr>
          <w:b/>
          <w:bCs/>
          <w:sz w:val="22"/>
          <w:szCs w:val="22"/>
          <w:highlight w:val="lightGray"/>
          <w:lang w:val="en-US"/>
        </w:rPr>
        <w:t xml:space="preserve">DELIVERABLES AND </w:t>
      </w:r>
      <w:r w:rsidR="00722C35">
        <w:rPr>
          <w:b/>
          <w:bCs/>
          <w:sz w:val="22"/>
          <w:szCs w:val="22"/>
          <w:highlight w:val="lightGray"/>
          <w:lang w:val="en-US"/>
        </w:rPr>
        <w:t>PAYMENT SCHEDULE</w:t>
      </w:r>
    </w:p>
    <w:p w14:paraId="61A2DC09" w14:textId="77777777" w:rsidR="005455E7" w:rsidRDefault="005455E7" w:rsidP="005455E7">
      <w:pPr>
        <w:jc w:val="both"/>
        <w:rPr>
          <w:sz w:val="22"/>
          <w:szCs w:val="22"/>
          <w:lang w:val="en-US"/>
        </w:rPr>
      </w:pPr>
      <w:r w:rsidRPr="00A65639">
        <w:rPr>
          <w:sz w:val="22"/>
          <w:szCs w:val="22"/>
          <w:lang w:val="en-US"/>
        </w:rPr>
        <w:t xml:space="preserve">The total amount of the GMDF contribution shall be transferred to selected implementation partners in </w:t>
      </w:r>
      <w:r>
        <w:rPr>
          <w:sz w:val="22"/>
          <w:szCs w:val="22"/>
          <w:lang w:val="en-US"/>
        </w:rPr>
        <w:t>instalments (at the beginning of the project, mid-way through the project, and upon project completion), whose payment will depend on the submission and approval of deliverables that will inform UNESCO of actual progress in implementation.</w:t>
      </w:r>
    </w:p>
    <w:p w14:paraId="6B5C94B2" w14:textId="156C3DF3" w:rsidR="00C91FA9" w:rsidRDefault="00C91FA9" w:rsidP="00A560FA">
      <w:pPr>
        <w:jc w:val="both"/>
        <w:rPr>
          <w:sz w:val="22"/>
          <w:szCs w:val="22"/>
          <w:lang w:val="en-US"/>
        </w:rPr>
      </w:pPr>
      <w:r>
        <w:rPr>
          <w:sz w:val="22"/>
          <w:szCs w:val="22"/>
          <w:lang w:val="en-US"/>
        </w:rPr>
        <w:t>The first instalment of the contract</w:t>
      </w:r>
      <w:r w:rsidR="005B1358">
        <w:rPr>
          <w:sz w:val="22"/>
          <w:szCs w:val="22"/>
          <w:lang w:val="en-US"/>
        </w:rPr>
        <w:t xml:space="preserve"> shall not exceed 90 days’ operational needs</w:t>
      </w:r>
      <w:r w:rsidR="00B35E9D">
        <w:rPr>
          <w:sz w:val="22"/>
          <w:szCs w:val="22"/>
          <w:lang w:val="en-US"/>
        </w:rPr>
        <w:t xml:space="preserve">, </w:t>
      </w:r>
      <w:r w:rsidR="00612B4E">
        <w:rPr>
          <w:sz w:val="22"/>
          <w:szCs w:val="22"/>
          <w:lang w:val="en-US"/>
        </w:rPr>
        <w:t>paid upon the receipt and approval of an inception report</w:t>
      </w:r>
      <w:r w:rsidR="005B1358">
        <w:rPr>
          <w:sz w:val="22"/>
          <w:szCs w:val="22"/>
          <w:lang w:val="en-US"/>
        </w:rPr>
        <w:t>, while the last instalment shall represent at least 10% of the total budget of the project</w:t>
      </w:r>
      <w:r w:rsidR="00042AF5">
        <w:rPr>
          <w:sz w:val="22"/>
          <w:szCs w:val="22"/>
          <w:lang w:val="en-US"/>
        </w:rPr>
        <w:t xml:space="preserve"> funded by UNESCO</w:t>
      </w:r>
      <w:r w:rsidR="00B35E9D">
        <w:rPr>
          <w:sz w:val="22"/>
          <w:szCs w:val="22"/>
          <w:lang w:val="en-US"/>
        </w:rPr>
        <w:t>;</w:t>
      </w:r>
      <w:r w:rsidR="00FB36BE">
        <w:rPr>
          <w:sz w:val="22"/>
          <w:szCs w:val="22"/>
          <w:lang w:val="en-US"/>
        </w:rPr>
        <w:t xml:space="preserve"> paid upon the receipt and approval </w:t>
      </w:r>
      <w:r w:rsidR="00B35E9D">
        <w:rPr>
          <w:sz w:val="22"/>
          <w:szCs w:val="22"/>
          <w:lang w:val="en-US"/>
        </w:rPr>
        <w:t>of the final narrative</w:t>
      </w:r>
      <w:r w:rsidR="00A31BE5">
        <w:rPr>
          <w:rStyle w:val="FootnoteReference"/>
          <w:sz w:val="22"/>
          <w:szCs w:val="22"/>
          <w:lang w:val="en-US"/>
        </w:rPr>
        <w:footnoteReference w:id="8"/>
      </w:r>
      <w:r w:rsidR="00B35E9D">
        <w:rPr>
          <w:sz w:val="22"/>
          <w:szCs w:val="22"/>
          <w:lang w:val="en-US"/>
        </w:rPr>
        <w:t xml:space="preserve"> and certified financial report</w:t>
      </w:r>
      <w:r w:rsidR="00F04D60">
        <w:rPr>
          <w:rStyle w:val="FootnoteReference"/>
          <w:sz w:val="22"/>
          <w:szCs w:val="22"/>
          <w:lang w:val="en-US"/>
        </w:rPr>
        <w:footnoteReference w:id="9"/>
      </w:r>
      <w:r w:rsidR="00B35E9D">
        <w:rPr>
          <w:sz w:val="22"/>
          <w:szCs w:val="22"/>
          <w:lang w:val="en-US"/>
        </w:rPr>
        <w:t>.</w:t>
      </w:r>
    </w:p>
    <w:p w14:paraId="332DC6DC" w14:textId="3B6DF6E6" w:rsidR="00C81133" w:rsidRDefault="00B35E9D" w:rsidP="00A560FA">
      <w:pPr>
        <w:jc w:val="both"/>
        <w:rPr>
          <w:sz w:val="22"/>
          <w:szCs w:val="22"/>
          <w:lang w:val="en-US"/>
        </w:rPr>
      </w:pPr>
      <w:r>
        <w:rPr>
          <w:sz w:val="22"/>
          <w:szCs w:val="22"/>
          <w:lang w:val="en-US"/>
        </w:rPr>
        <w:t xml:space="preserve">The number of narrative progress reports will </w:t>
      </w:r>
      <w:r w:rsidR="00AB73C8">
        <w:rPr>
          <w:sz w:val="22"/>
          <w:szCs w:val="22"/>
          <w:lang w:val="en-US"/>
        </w:rPr>
        <w:t xml:space="preserve">be determined </w:t>
      </w:r>
      <w:r w:rsidR="0011719E">
        <w:rPr>
          <w:sz w:val="22"/>
          <w:szCs w:val="22"/>
          <w:lang w:val="en-US"/>
        </w:rPr>
        <w:t>during the negotiation of the TORs of the IPA</w:t>
      </w:r>
      <w:r w:rsidR="00D71E9A">
        <w:rPr>
          <w:sz w:val="22"/>
          <w:szCs w:val="22"/>
          <w:lang w:val="en-US"/>
        </w:rPr>
        <w:t xml:space="preserve"> </w:t>
      </w:r>
      <w:r w:rsidR="00D71E9A" w:rsidRPr="00403BE7">
        <w:rPr>
          <w:sz w:val="22"/>
          <w:szCs w:val="22"/>
          <w:lang w:val="en-US"/>
        </w:rPr>
        <w:t xml:space="preserve">that shall be drawn up between the Organization and the preselected </w:t>
      </w:r>
      <w:r w:rsidR="00407FC3">
        <w:rPr>
          <w:sz w:val="22"/>
          <w:szCs w:val="22"/>
          <w:lang w:val="en-US"/>
        </w:rPr>
        <w:t xml:space="preserve">partner, and will depend on factors such as the duration of the action, the partner’s </w:t>
      </w:r>
      <w:r w:rsidR="00CE3100">
        <w:rPr>
          <w:sz w:val="22"/>
          <w:szCs w:val="22"/>
          <w:lang w:val="en-US"/>
        </w:rPr>
        <w:t>satisfactory prior performance, nature of the project activities</w:t>
      </w:r>
      <w:r w:rsidR="00407FC3">
        <w:rPr>
          <w:sz w:val="22"/>
          <w:szCs w:val="22"/>
          <w:lang w:val="en-US"/>
        </w:rPr>
        <w:t xml:space="preserve">, </w:t>
      </w:r>
      <w:r w:rsidR="009F66EB">
        <w:rPr>
          <w:sz w:val="22"/>
          <w:szCs w:val="22"/>
          <w:lang w:val="en-US"/>
        </w:rPr>
        <w:t>etc</w:t>
      </w:r>
      <w:r w:rsidR="00407FC3">
        <w:rPr>
          <w:sz w:val="22"/>
          <w:szCs w:val="22"/>
          <w:lang w:val="en-US"/>
        </w:rPr>
        <w:t>.</w:t>
      </w:r>
      <w:r w:rsidR="00A4102D">
        <w:rPr>
          <w:sz w:val="22"/>
          <w:szCs w:val="22"/>
          <w:lang w:val="en-US"/>
        </w:rPr>
        <w:t xml:space="preserve"> The submission of a quarterly financial report </w:t>
      </w:r>
      <w:r w:rsidR="00320E99">
        <w:rPr>
          <w:sz w:val="22"/>
          <w:szCs w:val="22"/>
          <w:lang w:val="en-US"/>
        </w:rPr>
        <w:t xml:space="preserve">in accordance with UNESCO guidelines </w:t>
      </w:r>
      <w:r w:rsidR="00F87A85">
        <w:rPr>
          <w:sz w:val="22"/>
          <w:szCs w:val="22"/>
          <w:lang w:val="en-US"/>
        </w:rPr>
        <w:t xml:space="preserve">will also </w:t>
      </w:r>
      <w:r w:rsidR="00320E99">
        <w:rPr>
          <w:sz w:val="22"/>
          <w:szCs w:val="22"/>
          <w:lang w:val="en-US"/>
        </w:rPr>
        <w:t>be required</w:t>
      </w:r>
      <w:r w:rsidR="00B9254D">
        <w:rPr>
          <w:sz w:val="22"/>
          <w:szCs w:val="22"/>
          <w:lang w:val="en-US"/>
        </w:rPr>
        <w:t>, in addition to the submission of the minutes of project meetings.</w:t>
      </w:r>
      <w:r w:rsidR="00CE5CAB">
        <w:rPr>
          <w:sz w:val="22"/>
          <w:szCs w:val="22"/>
          <w:lang w:val="en-US"/>
        </w:rPr>
        <w:t xml:space="preserve"> Mid-term review through remote monitoring or on-site spot check may be required for </w:t>
      </w:r>
      <w:r w:rsidR="00082134">
        <w:rPr>
          <w:sz w:val="22"/>
          <w:szCs w:val="22"/>
          <w:lang w:val="en-US"/>
        </w:rPr>
        <w:t>higher value contract</w:t>
      </w:r>
      <w:r w:rsidR="001D4230">
        <w:rPr>
          <w:sz w:val="22"/>
          <w:szCs w:val="22"/>
          <w:lang w:val="en-US"/>
        </w:rPr>
        <w:t>s.</w:t>
      </w:r>
    </w:p>
    <w:p w14:paraId="728DACF5" w14:textId="5821D197" w:rsidR="00E03388" w:rsidRDefault="00C74B99" w:rsidP="00A560FA">
      <w:pPr>
        <w:jc w:val="both"/>
        <w:rPr>
          <w:sz w:val="22"/>
          <w:szCs w:val="22"/>
          <w:lang w:val="en-US"/>
        </w:rPr>
      </w:pPr>
      <w:r w:rsidRPr="00C74B99">
        <w:rPr>
          <w:sz w:val="22"/>
          <w:szCs w:val="22"/>
          <w:lang w:val="en-US"/>
        </w:rPr>
        <w:t>UNESCO shall provide standard templates for the reports mentioned above.</w:t>
      </w:r>
      <w:r w:rsidR="00C81133">
        <w:rPr>
          <w:sz w:val="22"/>
          <w:szCs w:val="22"/>
          <w:lang w:val="en-US"/>
        </w:rPr>
        <w:t xml:space="preserve"> Project reporting </w:t>
      </w:r>
      <w:r w:rsidR="000D4A51">
        <w:rPr>
          <w:sz w:val="22"/>
          <w:szCs w:val="22"/>
          <w:lang w:val="en-US"/>
        </w:rPr>
        <w:t>must be carried out in English, French or Spanish.</w:t>
      </w:r>
    </w:p>
    <w:p w14:paraId="0711018C" w14:textId="77777777" w:rsidR="00F07A58" w:rsidRDefault="00F07A58" w:rsidP="00A560FA">
      <w:pPr>
        <w:jc w:val="both"/>
        <w:rPr>
          <w:sz w:val="22"/>
          <w:szCs w:val="22"/>
          <w:lang w:val="en-US"/>
        </w:rPr>
      </w:pPr>
      <w:r w:rsidRPr="00F07A58">
        <w:rPr>
          <w:sz w:val="22"/>
          <w:szCs w:val="22"/>
          <w:lang w:val="en-US"/>
        </w:rPr>
        <w:t xml:space="preserve">All payments of the contract shall depend upon the certification by the UNESCO Officer responsible for the IPA of the partner’s satisfactory performance of the work preceding the payment date of each instalment. </w:t>
      </w:r>
    </w:p>
    <w:p w14:paraId="19C447ED" w14:textId="671761D4" w:rsidR="00F07A58" w:rsidRDefault="00F07A58" w:rsidP="00A560FA">
      <w:pPr>
        <w:jc w:val="both"/>
        <w:rPr>
          <w:sz w:val="22"/>
          <w:szCs w:val="22"/>
          <w:lang w:val="en-US"/>
        </w:rPr>
      </w:pPr>
      <w:r w:rsidRPr="00F07A58">
        <w:rPr>
          <w:sz w:val="22"/>
          <w:szCs w:val="22"/>
          <w:lang w:val="en-US"/>
        </w:rPr>
        <w:lastRenderedPageBreak/>
        <w:t>Partners shall submit a signed invoice or request for payment in invoice format for each instalment of the contract. Save for justified exceptions (e.g. bank account currency in EUR), all instalments shall be paid in US Dollars.</w:t>
      </w:r>
    </w:p>
    <w:p w14:paraId="4B800816" w14:textId="590E4CB6" w:rsidR="006D468F" w:rsidRPr="008F0819" w:rsidRDefault="006D468F" w:rsidP="006D468F">
      <w:pPr>
        <w:shd w:val="clear" w:color="auto" w:fill="215E99" w:themeFill="text2" w:themeFillTint="BF"/>
        <w:tabs>
          <w:tab w:val="center" w:pos="4536"/>
          <w:tab w:val="left" w:pos="7095"/>
        </w:tabs>
        <w:spacing w:before="240" w:after="100" w:afterAutospacing="1"/>
        <w:jc w:val="both"/>
        <w:outlineLvl w:val="2"/>
        <w:rPr>
          <w:rFonts w:cs="Arial"/>
          <w:b/>
          <w:bCs/>
          <w:color w:val="FFFFFF" w:themeColor="background1"/>
          <w:sz w:val="44"/>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VII</w:t>
      </w:r>
      <w:r w:rsidRPr="00207654">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SUBMISSION</w:t>
      </w:r>
      <w:r w:rsidR="00406DB0">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OF PARTNERSHI</w:t>
      </w:r>
      <w:r w:rsidR="00BB0931">
        <w:rPr>
          <w:rFonts w:cs="Arial"/>
          <w:b/>
          <w:bCs/>
          <w:color w:val="FFFFFF" w:themeColor="background1"/>
          <w:szCs w:val="4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 PROPOSALS</w:t>
      </w:r>
    </w:p>
    <w:p w14:paraId="5AD11578" w14:textId="25296DF2" w:rsidR="00BC45E1" w:rsidRDefault="00BC45E1" w:rsidP="006D468F">
      <w:pPr>
        <w:jc w:val="both"/>
        <w:rPr>
          <w:sz w:val="22"/>
          <w:szCs w:val="22"/>
          <w:lang w:val="en-US"/>
        </w:rPr>
      </w:pPr>
      <w:r w:rsidRPr="00BC45E1">
        <w:rPr>
          <w:sz w:val="22"/>
          <w:szCs w:val="22"/>
          <w:lang w:val="en-US"/>
        </w:rPr>
        <w:t>All the information required to prepare your partnership proposal is available on the UN Global Marketplace website (UNGM)</w:t>
      </w:r>
      <w:r>
        <w:rPr>
          <w:sz w:val="22"/>
          <w:szCs w:val="22"/>
          <w:lang w:val="en-US"/>
        </w:rPr>
        <w:t>.</w:t>
      </w:r>
    </w:p>
    <w:p w14:paraId="7C3C1892" w14:textId="3661BD68" w:rsidR="00E80BE0" w:rsidRPr="00E80BE0" w:rsidRDefault="00E80BE0" w:rsidP="00E80BE0">
      <w:pPr>
        <w:jc w:val="both"/>
        <w:rPr>
          <w:sz w:val="22"/>
          <w:szCs w:val="22"/>
          <w:lang w:val="en-US"/>
        </w:rPr>
      </w:pPr>
      <w:r w:rsidRPr="00E80BE0">
        <w:rPr>
          <w:b/>
          <w:bCs/>
          <w:sz w:val="22"/>
          <w:szCs w:val="22"/>
          <w:u w:val="single"/>
          <w:lang w:val="en-US"/>
        </w:rPr>
        <w:t>CHECKLIST</w:t>
      </w:r>
      <w:r w:rsidRPr="00E80BE0">
        <w:rPr>
          <w:sz w:val="22"/>
          <w:szCs w:val="22"/>
          <w:lang w:val="en-US"/>
        </w:rPr>
        <w:t xml:space="preserve">: All candidate </w:t>
      </w:r>
      <w:r w:rsidR="00030995">
        <w:rPr>
          <w:sz w:val="22"/>
          <w:szCs w:val="22"/>
          <w:lang w:val="en-US"/>
        </w:rPr>
        <w:t xml:space="preserve">organizations </w:t>
      </w:r>
      <w:r w:rsidRPr="00E80BE0">
        <w:rPr>
          <w:sz w:val="22"/>
          <w:szCs w:val="22"/>
          <w:lang w:val="en-US"/>
        </w:rPr>
        <w:t xml:space="preserve">must submit the following </w:t>
      </w:r>
      <w:r w:rsidRPr="00E80BE0">
        <w:rPr>
          <w:b/>
          <w:bCs/>
          <w:sz w:val="22"/>
          <w:szCs w:val="22"/>
          <w:lang w:val="en-US"/>
        </w:rPr>
        <w:t>forms and supporting documents</w:t>
      </w:r>
      <w:r w:rsidRPr="00E80BE0">
        <w:rPr>
          <w:sz w:val="22"/>
          <w:szCs w:val="22"/>
          <w:lang w:val="en-US"/>
        </w:rPr>
        <w:t>:</w:t>
      </w:r>
    </w:p>
    <w:p w14:paraId="28878D54" w14:textId="4F8304B0" w:rsidR="00E80BE0" w:rsidRPr="00A2127A" w:rsidRDefault="00E80BE0" w:rsidP="00E80BE0">
      <w:pPr>
        <w:pStyle w:val="ListParagraph"/>
        <w:numPr>
          <w:ilvl w:val="0"/>
          <w:numId w:val="24"/>
        </w:numPr>
        <w:spacing w:line="259" w:lineRule="auto"/>
        <w:jc w:val="both"/>
        <w:rPr>
          <w:sz w:val="22"/>
          <w:szCs w:val="22"/>
          <w:lang w:val="en-US"/>
        </w:rPr>
      </w:pPr>
      <w:r w:rsidRPr="00A2127A">
        <w:rPr>
          <w:sz w:val="22"/>
          <w:szCs w:val="22"/>
          <w:lang w:val="en-US"/>
        </w:rPr>
        <w:t xml:space="preserve">Application Form </w:t>
      </w:r>
      <w:r w:rsidR="00A2127A">
        <w:rPr>
          <w:sz w:val="22"/>
          <w:szCs w:val="22"/>
          <w:lang w:val="en-US"/>
        </w:rPr>
        <w:t xml:space="preserve">(Annex 3) </w:t>
      </w:r>
      <w:r w:rsidRPr="00A2127A">
        <w:rPr>
          <w:sz w:val="22"/>
          <w:szCs w:val="22"/>
          <w:lang w:val="en-US"/>
        </w:rPr>
        <w:t>(signature required)</w:t>
      </w:r>
      <w:r w:rsidR="00030995" w:rsidRPr="00A2127A">
        <w:rPr>
          <w:sz w:val="22"/>
          <w:szCs w:val="22"/>
          <w:lang w:val="en-US"/>
        </w:rPr>
        <w:t> ;</w:t>
      </w:r>
    </w:p>
    <w:p w14:paraId="7345A5C1" w14:textId="5DA847CA" w:rsidR="00E80BE0" w:rsidRPr="00E80BE0" w:rsidRDefault="00E80BE0" w:rsidP="00E80BE0">
      <w:pPr>
        <w:pStyle w:val="ListParagraph"/>
        <w:numPr>
          <w:ilvl w:val="0"/>
          <w:numId w:val="24"/>
        </w:numPr>
        <w:spacing w:line="259" w:lineRule="auto"/>
        <w:jc w:val="both"/>
        <w:rPr>
          <w:sz w:val="22"/>
          <w:szCs w:val="22"/>
          <w:lang w:val="en-US"/>
        </w:rPr>
      </w:pPr>
      <w:r w:rsidRPr="00E80BE0">
        <w:rPr>
          <w:sz w:val="22"/>
          <w:szCs w:val="22"/>
          <w:lang w:val="en-US"/>
        </w:rPr>
        <w:t xml:space="preserve">Budget </w:t>
      </w:r>
      <w:r w:rsidR="00B63738">
        <w:rPr>
          <w:sz w:val="22"/>
          <w:szCs w:val="22"/>
          <w:lang w:val="en-US"/>
        </w:rPr>
        <w:t xml:space="preserve">Proposal </w:t>
      </w:r>
      <w:r w:rsidRPr="00E80BE0">
        <w:rPr>
          <w:sz w:val="22"/>
          <w:szCs w:val="22"/>
          <w:lang w:val="en-US"/>
        </w:rPr>
        <w:t>Template</w:t>
      </w:r>
      <w:r w:rsidR="00A2127A">
        <w:rPr>
          <w:sz w:val="22"/>
          <w:szCs w:val="22"/>
          <w:lang w:val="en-US"/>
        </w:rPr>
        <w:t xml:space="preserve"> (Annex 4)</w:t>
      </w:r>
      <w:r w:rsidRPr="00E80BE0">
        <w:rPr>
          <w:sz w:val="22"/>
          <w:szCs w:val="22"/>
          <w:lang w:val="en-US"/>
        </w:rPr>
        <w:t>, including the logo of the candidate partner and the signature of the authorized representative at the bottom (signature and date required)</w:t>
      </w:r>
      <w:r w:rsidR="00030995">
        <w:rPr>
          <w:sz w:val="22"/>
          <w:szCs w:val="22"/>
          <w:lang w:val="en-US"/>
        </w:rPr>
        <w:t>;</w:t>
      </w:r>
    </w:p>
    <w:p w14:paraId="51F4DFF0" w14:textId="102CF8DB" w:rsidR="00E80BE0" w:rsidRPr="00E80BE0" w:rsidRDefault="00E80BE0" w:rsidP="00E80BE0">
      <w:pPr>
        <w:pStyle w:val="ListParagraph"/>
        <w:numPr>
          <w:ilvl w:val="0"/>
          <w:numId w:val="24"/>
        </w:numPr>
        <w:spacing w:line="259" w:lineRule="auto"/>
        <w:jc w:val="both"/>
        <w:rPr>
          <w:sz w:val="22"/>
          <w:szCs w:val="22"/>
          <w:lang w:val="en-US"/>
        </w:rPr>
      </w:pPr>
      <w:r w:rsidRPr="00E80BE0">
        <w:rPr>
          <w:sz w:val="22"/>
          <w:szCs w:val="22"/>
          <w:lang w:val="en-US"/>
        </w:rPr>
        <w:t>UNESCO Partner Identification Form</w:t>
      </w:r>
      <w:r w:rsidR="00A2127A">
        <w:rPr>
          <w:sz w:val="22"/>
          <w:szCs w:val="22"/>
          <w:lang w:val="en-US"/>
        </w:rPr>
        <w:t xml:space="preserve"> (Annex 2)</w:t>
      </w:r>
      <w:r w:rsidRPr="00E80BE0">
        <w:rPr>
          <w:sz w:val="22"/>
          <w:szCs w:val="22"/>
          <w:lang w:val="en-US"/>
        </w:rPr>
        <w:t xml:space="preserve"> (signature and date required)</w:t>
      </w:r>
      <w:r w:rsidR="00030995">
        <w:rPr>
          <w:sz w:val="22"/>
          <w:szCs w:val="22"/>
          <w:lang w:val="en-US"/>
        </w:rPr>
        <w:t>;</w:t>
      </w:r>
    </w:p>
    <w:p w14:paraId="3A3FD9B9" w14:textId="2573F7E1" w:rsidR="00E80BE0" w:rsidRPr="00E80BE0" w:rsidRDefault="00E80BE0" w:rsidP="00E80BE0">
      <w:pPr>
        <w:pStyle w:val="ListParagraph"/>
        <w:numPr>
          <w:ilvl w:val="0"/>
          <w:numId w:val="24"/>
        </w:numPr>
        <w:spacing w:line="259" w:lineRule="auto"/>
        <w:jc w:val="both"/>
        <w:rPr>
          <w:sz w:val="22"/>
          <w:szCs w:val="22"/>
          <w:lang w:val="en-US"/>
        </w:rPr>
      </w:pPr>
      <w:r w:rsidRPr="00E80BE0">
        <w:rPr>
          <w:sz w:val="22"/>
          <w:szCs w:val="22"/>
          <w:lang w:val="en-US"/>
        </w:rPr>
        <w:t>Official Certificate of Legal Status (if the certificate is available in a language other than English and French, the candidate partner must accompany the certificate with a translation)</w:t>
      </w:r>
      <w:r w:rsidR="00030995">
        <w:rPr>
          <w:sz w:val="22"/>
          <w:szCs w:val="22"/>
          <w:lang w:val="en-US"/>
        </w:rPr>
        <w:t>;</w:t>
      </w:r>
    </w:p>
    <w:p w14:paraId="3E905863" w14:textId="5EE3D364" w:rsidR="00E80BE0" w:rsidRPr="00E80BE0" w:rsidRDefault="00E80BE0" w:rsidP="00E80BE0">
      <w:pPr>
        <w:pStyle w:val="ListParagraph"/>
        <w:numPr>
          <w:ilvl w:val="0"/>
          <w:numId w:val="24"/>
        </w:numPr>
        <w:spacing w:line="259" w:lineRule="auto"/>
        <w:jc w:val="both"/>
        <w:rPr>
          <w:sz w:val="22"/>
          <w:szCs w:val="22"/>
          <w:lang w:val="en-US"/>
        </w:rPr>
      </w:pPr>
      <w:r w:rsidRPr="00E80BE0">
        <w:rPr>
          <w:sz w:val="22"/>
          <w:szCs w:val="22"/>
          <w:lang w:val="en-US"/>
        </w:rPr>
        <w:t>Financial Statements (including the balance sheet, the income and expenses account and relevant annexes) of the last two financial years for which the accounts have been closed, signed and certified by the candidate partner’s own financial authority (comptroller or equivalent) and audited, where applicable</w:t>
      </w:r>
      <w:r w:rsidR="00030995">
        <w:rPr>
          <w:sz w:val="22"/>
          <w:szCs w:val="22"/>
          <w:lang w:val="en-US"/>
        </w:rPr>
        <w:t>, in accordance with International Standards on Auditing</w:t>
      </w:r>
      <w:r w:rsidRPr="00E80BE0">
        <w:rPr>
          <w:sz w:val="22"/>
          <w:szCs w:val="22"/>
          <w:lang w:val="en-US"/>
        </w:rPr>
        <w:t xml:space="preserve"> (signature and date required)</w:t>
      </w:r>
      <w:r w:rsidR="00030995">
        <w:rPr>
          <w:sz w:val="22"/>
          <w:szCs w:val="22"/>
          <w:lang w:val="en-US"/>
        </w:rPr>
        <w:t>;</w:t>
      </w:r>
    </w:p>
    <w:p w14:paraId="429BA10F" w14:textId="2CDAC89D" w:rsidR="00E80BE0" w:rsidRPr="00E80BE0" w:rsidRDefault="00E80BE0" w:rsidP="00E80BE0">
      <w:pPr>
        <w:pStyle w:val="ListParagraph"/>
        <w:numPr>
          <w:ilvl w:val="0"/>
          <w:numId w:val="24"/>
        </w:numPr>
        <w:spacing w:line="259" w:lineRule="auto"/>
        <w:jc w:val="both"/>
        <w:rPr>
          <w:sz w:val="22"/>
          <w:szCs w:val="22"/>
          <w:lang w:val="en-US"/>
        </w:rPr>
      </w:pPr>
      <w:r w:rsidRPr="00E80BE0">
        <w:rPr>
          <w:sz w:val="22"/>
          <w:szCs w:val="22"/>
          <w:lang w:val="en-US"/>
        </w:rPr>
        <w:t>A Report of the entity’s annual activities, covering the activities implemented during the last year (as a means of attesting the candidate partners’ professional competencies and appropriate qualifications)</w:t>
      </w:r>
      <w:r w:rsidR="00164C35">
        <w:rPr>
          <w:sz w:val="22"/>
          <w:szCs w:val="22"/>
          <w:lang w:val="en-US"/>
        </w:rPr>
        <w:t>;</w:t>
      </w:r>
    </w:p>
    <w:p w14:paraId="677EA725" w14:textId="021A93D8" w:rsidR="00E80BE0" w:rsidRPr="00E80BE0" w:rsidRDefault="00E80BE0" w:rsidP="00E80BE0">
      <w:pPr>
        <w:pStyle w:val="ListParagraph"/>
        <w:numPr>
          <w:ilvl w:val="0"/>
          <w:numId w:val="24"/>
        </w:numPr>
        <w:spacing w:line="259" w:lineRule="auto"/>
        <w:jc w:val="both"/>
        <w:rPr>
          <w:sz w:val="22"/>
          <w:szCs w:val="22"/>
          <w:lang w:val="en-US"/>
        </w:rPr>
      </w:pPr>
      <w:r w:rsidRPr="00E80BE0">
        <w:rPr>
          <w:sz w:val="22"/>
          <w:szCs w:val="22"/>
          <w:lang w:val="en-US"/>
        </w:rPr>
        <w:t>Curriculum Vitae (CV) or résumé of key personnel that is or will be involved in the implementation of the project</w:t>
      </w:r>
      <w:r w:rsidR="004318B8">
        <w:rPr>
          <w:sz w:val="22"/>
          <w:szCs w:val="22"/>
          <w:lang w:val="en-US"/>
        </w:rPr>
        <w:t xml:space="preserve"> (and not just the project focal point)</w:t>
      </w:r>
      <w:r w:rsidRPr="00E80BE0">
        <w:rPr>
          <w:sz w:val="22"/>
          <w:szCs w:val="22"/>
          <w:lang w:val="en-US"/>
        </w:rPr>
        <w:t>.</w:t>
      </w:r>
    </w:p>
    <w:p w14:paraId="00DF2976" w14:textId="77777777" w:rsidR="00E80BE0" w:rsidRPr="00E80BE0" w:rsidRDefault="00E80BE0" w:rsidP="00E80BE0">
      <w:pPr>
        <w:jc w:val="both"/>
        <w:rPr>
          <w:b/>
          <w:bCs/>
          <w:sz w:val="22"/>
          <w:szCs w:val="22"/>
          <w:lang w:val="en-US"/>
        </w:rPr>
      </w:pPr>
      <w:r w:rsidRPr="00E80BE0">
        <w:rPr>
          <w:b/>
          <w:bCs/>
          <w:sz w:val="22"/>
          <w:szCs w:val="22"/>
          <w:lang w:val="en-US"/>
        </w:rPr>
        <w:t xml:space="preserve">Only proposals that fulfill the eligibility criteria will be considered for a grant. </w:t>
      </w:r>
    </w:p>
    <w:p w14:paraId="0C464061" w14:textId="5253007B" w:rsidR="00E80BE0" w:rsidRPr="00E80BE0" w:rsidRDefault="00E80BE0" w:rsidP="00E80BE0">
      <w:pPr>
        <w:jc w:val="both"/>
        <w:rPr>
          <w:b/>
          <w:bCs/>
          <w:sz w:val="22"/>
          <w:szCs w:val="22"/>
          <w:lang w:val="en-US"/>
        </w:rPr>
      </w:pPr>
      <w:r w:rsidRPr="00E80BE0">
        <w:rPr>
          <w:b/>
          <w:bCs/>
          <w:sz w:val="22"/>
          <w:szCs w:val="22"/>
          <w:lang w:val="en-US"/>
        </w:rPr>
        <w:t xml:space="preserve">Please note that </w:t>
      </w:r>
      <w:r w:rsidR="00480463">
        <w:rPr>
          <w:b/>
          <w:bCs/>
          <w:sz w:val="22"/>
          <w:szCs w:val="22"/>
          <w:lang w:val="en-US"/>
        </w:rPr>
        <w:t xml:space="preserve">partnership </w:t>
      </w:r>
      <w:r w:rsidRPr="00E80BE0">
        <w:rPr>
          <w:b/>
          <w:bCs/>
          <w:sz w:val="22"/>
          <w:szCs w:val="22"/>
          <w:lang w:val="en-US"/>
        </w:rPr>
        <w:t>proposals must be submitted in English, French or Spanish.</w:t>
      </w:r>
    </w:p>
    <w:p w14:paraId="7E2078AA" w14:textId="2E8410E9" w:rsidR="00E80BE0" w:rsidRPr="00960FA6" w:rsidRDefault="00E80BE0" w:rsidP="00E80BE0">
      <w:pPr>
        <w:jc w:val="both"/>
        <w:rPr>
          <w:sz w:val="22"/>
          <w:szCs w:val="22"/>
          <w:lang w:val="en-US"/>
        </w:rPr>
      </w:pPr>
      <w:r w:rsidRPr="00E80BE0">
        <w:rPr>
          <w:sz w:val="22"/>
          <w:szCs w:val="22"/>
          <w:lang w:val="en-US"/>
        </w:rPr>
        <w:t>In order to submit</w:t>
      </w:r>
      <w:r w:rsidRPr="00E80BE0">
        <w:rPr>
          <w:b/>
          <w:bCs/>
          <w:sz w:val="22"/>
          <w:szCs w:val="22"/>
          <w:lang w:val="en-US"/>
        </w:rPr>
        <w:t xml:space="preserve"> </w:t>
      </w:r>
      <w:r w:rsidRPr="00E80BE0">
        <w:rPr>
          <w:sz w:val="22"/>
          <w:szCs w:val="22"/>
          <w:lang w:val="en-US"/>
        </w:rPr>
        <w:t xml:space="preserve">a partnership proposal, please forward the filled (and signed, where required) forms and supporting documents to the following email address: </w:t>
      </w:r>
      <w:hyperlink r:id="rId37" w:history="1">
        <w:r w:rsidRPr="00E80BE0">
          <w:rPr>
            <w:rStyle w:val="Hyperlink"/>
            <w:sz w:val="22"/>
            <w:szCs w:val="22"/>
            <w:lang w:val="en-US"/>
          </w:rPr>
          <w:t>gmdf@unesco.org</w:t>
        </w:r>
      </w:hyperlink>
      <w:r w:rsidRPr="00E80BE0">
        <w:rPr>
          <w:sz w:val="22"/>
          <w:szCs w:val="22"/>
          <w:lang w:val="en-US"/>
        </w:rPr>
        <w:t>. All documents must be shared in a readable format (Word or PDF for the forms</w:t>
      </w:r>
      <w:r w:rsidR="00960FA6">
        <w:rPr>
          <w:sz w:val="22"/>
          <w:szCs w:val="22"/>
          <w:lang w:val="en-US"/>
        </w:rPr>
        <w:t>;</w:t>
      </w:r>
      <w:r w:rsidRPr="00E80BE0">
        <w:rPr>
          <w:sz w:val="22"/>
          <w:szCs w:val="22"/>
          <w:lang w:val="en-US"/>
        </w:rPr>
        <w:t xml:space="preserve"> PDF</w:t>
      </w:r>
      <w:r w:rsidR="00960FA6">
        <w:rPr>
          <w:sz w:val="22"/>
          <w:szCs w:val="22"/>
          <w:lang w:val="en-US"/>
        </w:rPr>
        <w:t>,</w:t>
      </w:r>
      <w:r w:rsidRPr="00E80BE0">
        <w:rPr>
          <w:sz w:val="22"/>
          <w:szCs w:val="22"/>
          <w:lang w:val="en-US"/>
        </w:rPr>
        <w:t xml:space="preserve"> JPG</w:t>
      </w:r>
      <w:r w:rsidR="00960FA6">
        <w:rPr>
          <w:sz w:val="22"/>
          <w:szCs w:val="22"/>
          <w:lang w:val="en-US"/>
        </w:rPr>
        <w:t xml:space="preserve"> or PNG</w:t>
      </w:r>
      <w:r w:rsidRPr="00E80BE0">
        <w:rPr>
          <w:sz w:val="22"/>
          <w:szCs w:val="22"/>
          <w:lang w:val="en-US"/>
        </w:rPr>
        <w:t xml:space="preserve"> for the supporting documents). </w:t>
      </w:r>
      <w:r w:rsidRPr="00960FA6">
        <w:rPr>
          <w:sz w:val="22"/>
          <w:szCs w:val="22"/>
          <w:lang w:val="en-US"/>
        </w:rPr>
        <w:t>No other method of submission will be accepted.</w:t>
      </w:r>
    </w:p>
    <w:p w14:paraId="1E778FB2" w14:textId="77777777" w:rsidR="00731433" w:rsidRPr="00F61A3B" w:rsidRDefault="00731433" w:rsidP="00A560FA">
      <w:pPr>
        <w:jc w:val="both"/>
        <w:rPr>
          <w:sz w:val="22"/>
          <w:szCs w:val="22"/>
          <w:lang w:val="en-US"/>
        </w:rPr>
      </w:pPr>
    </w:p>
    <w:sectPr w:rsidR="00731433" w:rsidRPr="00F61A3B" w:rsidSect="005B4A72">
      <w:headerReference w:type="default" r:id="rId38"/>
      <w:footerReference w:type="default" r:id="rId39"/>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DD73" w14:textId="77777777" w:rsidR="00DB624F" w:rsidRDefault="00DB624F" w:rsidP="00EA3E90">
      <w:pPr>
        <w:spacing w:after="0" w:line="240" w:lineRule="auto"/>
      </w:pPr>
      <w:r>
        <w:separator/>
      </w:r>
    </w:p>
  </w:endnote>
  <w:endnote w:type="continuationSeparator" w:id="0">
    <w:p w14:paraId="0DB2EB7C" w14:textId="77777777" w:rsidR="00DB624F" w:rsidRDefault="00DB624F" w:rsidP="00EA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2065300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B7C2E34" w14:textId="7D7B18C6" w:rsidR="00B52044" w:rsidRPr="00B52044" w:rsidRDefault="00B52044">
            <w:pPr>
              <w:pStyle w:val="Footer"/>
              <w:jc w:val="right"/>
              <w:rPr>
                <w:sz w:val="20"/>
                <w:szCs w:val="20"/>
              </w:rPr>
            </w:pPr>
            <w:r w:rsidRPr="00B52044">
              <w:rPr>
                <w:sz w:val="20"/>
                <w:szCs w:val="20"/>
              </w:rPr>
              <w:t xml:space="preserve">Page </w:t>
            </w:r>
            <w:r w:rsidRPr="00B52044">
              <w:rPr>
                <w:b/>
                <w:bCs/>
                <w:sz w:val="20"/>
                <w:szCs w:val="20"/>
              </w:rPr>
              <w:fldChar w:fldCharType="begin"/>
            </w:r>
            <w:r w:rsidRPr="00B52044">
              <w:rPr>
                <w:b/>
                <w:bCs/>
                <w:sz w:val="20"/>
                <w:szCs w:val="20"/>
              </w:rPr>
              <w:instrText xml:space="preserve"> PAGE </w:instrText>
            </w:r>
            <w:r w:rsidRPr="00B52044">
              <w:rPr>
                <w:b/>
                <w:bCs/>
                <w:sz w:val="20"/>
                <w:szCs w:val="20"/>
              </w:rPr>
              <w:fldChar w:fldCharType="separate"/>
            </w:r>
            <w:r w:rsidRPr="00B52044">
              <w:rPr>
                <w:b/>
                <w:bCs/>
                <w:noProof/>
                <w:sz w:val="20"/>
                <w:szCs w:val="20"/>
              </w:rPr>
              <w:t>2</w:t>
            </w:r>
            <w:r w:rsidRPr="00B52044">
              <w:rPr>
                <w:b/>
                <w:bCs/>
                <w:sz w:val="20"/>
                <w:szCs w:val="20"/>
              </w:rPr>
              <w:fldChar w:fldCharType="end"/>
            </w:r>
            <w:r w:rsidRPr="00B52044">
              <w:rPr>
                <w:sz w:val="20"/>
                <w:szCs w:val="20"/>
              </w:rPr>
              <w:t xml:space="preserve"> of </w:t>
            </w:r>
            <w:r w:rsidRPr="00B52044">
              <w:rPr>
                <w:b/>
                <w:bCs/>
                <w:sz w:val="20"/>
                <w:szCs w:val="20"/>
              </w:rPr>
              <w:fldChar w:fldCharType="begin"/>
            </w:r>
            <w:r w:rsidRPr="00B52044">
              <w:rPr>
                <w:b/>
                <w:bCs/>
                <w:sz w:val="20"/>
                <w:szCs w:val="20"/>
              </w:rPr>
              <w:instrText xml:space="preserve"> NUMPAGES  </w:instrText>
            </w:r>
            <w:r w:rsidRPr="00B52044">
              <w:rPr>
                <w:b/>
                <w:bCs/>
                <w:sz w:val="20"/>
                <w:szCs w:val="20"/>
              </w:rPr>
              <w:fldChar w:fldCharType="separate"/>
            </w:r>
            <w:r w:rsidRPr="00B52044">
              <w:rPr>
                <w:b/>
                <w:bCs/>
                <w:noProof/>
                <w:sz w:val="20"/>
                <w:szCs w:val="20"/>
              </w:rPr>
              <w:t>2</w:t>
            </w:r>
            <w:r w:rsidRPr="00B52044">
              <w:rPr>
                <w:b/>
                <w:bCs/>
                <w:sz w:val="20"/>
                <w:szCs w:val="20"/>
              </w:rPr>
              <w:fldChar w:fldCharType="end"/>
            </w:r>
          </w:p>
        </w:sdtContent>
      </w:sdt>
    </w:sdtContent>
  </w:sdt>
  <w:p w14:paraId="32919839" w14:textId="77777777" w:rsidR="00657F2B" w:rsidRDefault="00657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D381B" w14:textId="77777777" w:rsidR="00DB624F" w:rsidRDefault="00DB624F" w:rsidP="00EA3E90">
      <w:pPr>
        <w:spacing w:after="0" w:line="240" w:lineRule="auto"/>
      </w:pPr>
      <w:r>
        <w:separator/>
      </w:r>
    </w:p>
  </w:footnote>
  <w:footnote w:type="continuationSeparator" w:id="0">
    <w:p w14:paraId="732730F6" w14:textId="77777777" w:rsidR="00DB624F" w:rsidRDefault="00DB624F" w:rsidP="00EA3E90">
      <w:pPr>
        <w:spacing w:after="0" w:line="240" w:lineRule="auto"/>
      </w:pPr>
      <w:r>
        <w:continuationSeparator/>
      </w:r>
    </w:p>
  </w:footnote>
  <w:footnote w:id="1">
    <w:p w14:paraId="3BEAACE9" w14:textId="77777777" w:rsidR="003B6360" w:rsidRPr="007A0968" w:rsidRDefault="003B6360" w:rsidP="003B6360">
      <w:pPr>
        <w:spacing w:after="0"/>
        <w:jc w:val="both"/>
        <w:rPr>
          <w:sz w:val="20"/>
          <w:szCs w:val="20"/>
          <w:lang w:val="en-US"/>
        </w:rPr>
      </w:pPr>
      <w:r>
        <w:rPr>
          <w:rStyle w:val="FootnoteReference"/>
        </w:rPr>
        <w:footnoteRef/>
      </w:r>
      <w:r w:rsidRPr="003B6360">
        <w:rPr>
          <w:lang w:val="en-US"/>
        </w:rPr>
        <w:t xml:space="preserve"> </w:t>
      </w:r>
      <w:r w:rsidRPr="003B6360">
        <w:rPr>
          <w:b/>
          <w:bCs/>
          <w:sz w:val="20"/>
          <w:szCs w:val="20"/>
          <w:lang w:val="en-US"/>
        </w:rPr>
        <w:t xml:space="preserve">S.M.A.R.T. </w:t>
      </w:r>
      <w:r w:rsidRPr="003B6360">
        <w:rPr>
          <w:sz w:val="20"/>
          <w:szCs w:val="20"/>
          <w:lang w:val="en-US"/>
        </w:rPr>
        <w:t>project objectives are:</w:t>
      </w:r>
    </w:p>
    <w:p w14:paraId="0F382E2B" w14:textId="5A564D91" w:rsidR="003B6360" w:rsidRPr="003B6360" w:rsidRDefault="003B6360" w:rsidP="003B6360">
      <w:pPr>
        <w:spacing w:after="0"/>
        <w:jc w:val="both"/>
        <w:rPr>
          <w:sz w:val="20"/>
          <w:szCs w:val="20"/>
          <w:lang w:val="en-US"/>
        </w:rPr>
      </w:pPr>
      <w:r w:rsidRPr="003B6360">
        <w:rPr>
          <w:b/>
          <w:bCs/>
          <w:sz w:val="20"/>
          <w:szCs w:val="20"/>
          <w:lang w:val="en-US"/>
        </w:rPr>
        <w:t xml:space="preserve">Specific: </w:t>
      </w:r>
      <w:r w:rsidRPr="003B6360">
        <w:rPr>
          <w:sz w:val="20"/>
          <w:szCs w:val="20"/>
          <w:lang w:val="en-US"/>
        </w:rPr>
        <w:t>Clear, concrete and unambiguous (not open to varying interpretations by different people).</w:t>
      </w:r>
    </w:p>
    <w:p w14:paraId="794FD4BA" w14:textId="77777777" w:rsidR="003B6360" w:rsidRPr="003B6360" w:rsidRDefault="003B6360" w:rsidP="003B6360">
      <w:pPr>
        <w:spacing w:after="0" w:line="276" w:lineRule="auto"/>
        <w:jc w:val="both"/>
        <w:rPr>
          <w:sz w:val="20"/>
          <w:szCs w:val="20"/>
          <w:lang w:val="en-US"/>
        </w:rPr>
      </w:pPr>
      <w:r w:rsidRPr="003B6360">
        <w:rPr>
          <w:b/>
          <w:bCs/>
          <w:sz w:val="20"/>
          <w:szCs w:val="20"/>
          <w:lang w:val="en-US"/>
        </w:rPr>
        <w:t>Measurable:</w:t>
      </w:r>
      <w:r w:rsidRPr="003B6360">
        <w:rPr>
          <w:sz w:val="20"/>
          <w:szCs w:val="20"/>
          <w:lang w:val="en-US"/>
        </w:rPr>
        <w:t xml:space="preserve"> Define the desired goals in measurable terms, which allow verification of their achievement. These terms must be either quantified or based on easily identifiable measurements </w:t>
      </w:r>
      <w:r w:rsidRPr="003B6360">
        <w:rPr>
          <w:i/>
          <w:iCs/>
          <w:sz w:val="20"/>
          <w:szCs w:val="20"/>
          <w:lang w:val="en-US"/>
        </w:rPr>
        <w:t xml:space="preserve">(e.g. Ensuring the access </w:t>
      </w:r>
      <w:r w:rsidRPr="00AA1AF3">
        <w:rPr>
          <w:i/>
          <w:iCs/>
          <w:sz w:val="20"/>
          <w:szCs w:val="20"/>
          <w:lang w:val="en-US"/>
        </w:rPr>
        <w:t>of at least 20</w:t>
      </w:r>
      <w:r w:rsidRPr="003B6360">
        <w:rPr>
          <w:i/>
          <w:iCs/>
          <w:sz w:val="20"/>
          <w:szCs w:val="20"/>
          <w:lang w:val="en-US"/>
        </w:rPr>
        <w:t xml:space="preserve"> journalists to rapid, specialized and gender-sensitive legal assistance in X target country). </w:t>
      </w:r>
    </w:p>
    <w:p w14:paraId="06A0CAC0" w14:textId="77777777" w:rsidR="003B6360" w:rsidRPr="003B6360" w:rsidRDefault="003B6360" w:rsidP="003B6360">
      <w:pPr>
        <w:spacing w:after="0" w:line="276" w:lineRule="auto"/>
        <w:jc w:val="both"/>
        <w:rPr>
          <w:sz w:val="20"/>
          <w:szCs w:val="20"/>
          <w:lang w:val="en-US"/>
        </w:rPr>
      </w:pPr>
      <w:r w:rsidRPr="003B6360">
        <w:rPr>
          <w:b/>
          <w:bCs/>
          <w:sz w:val="20"/>
          <w:szCs w:val="20"/>
          <w:lang w:val="en-US"/>
        </w:rPr>
        <w:t xml:space="preserve">Achievable: </w:t>
      </w:r>
      <w:r w:rsidRPr="003B6360">
        <w:rPr>
          <w:sz w:val="20"/>
          <w:szCs w:val="20"/>
          <w:lang w:val="en-US"/>
        </w:rPr>
        <w:t>Set at a level which is ambitious but at the same time realistically attainable.</w:t>
      </w:r>
    </w:p>
    <w:p w14:paraId="618EDFDF" w14:textId="77777777" w:rsidR="003B6360" w:rsidRPr="003B6360" w:rsidRDefault="003B6360" w:rsidP="003B6360">
      <w:pPr>
        <w:spacing w:after="0" w:line="276" w:lineRule="auto"/>
        <w:jc w:val="both"/>
        <w:rPr>
          <w:sz w:val="20"/>
          <w:szCs w:val="20"/>
          <w:lang w:val="en-US"/>
        </w:rPr>
      </w:pPr>
      <w:r w:rsidRPr="003B6360">
        <w:rPr>
          <w:b/>
          <w:bCs/>
          <w:sz w:val="20"/>
          <w:szCs w:val="20"/>
          <w:lang w:val="en-US"/>
        </w:rPr>
        <w:t xml:space="preserve">Relevant: </w:t>
      </w:r>
      <w:r w:rsidRPr="003B6360">
        <w:rPr>
          <w:sz w:val="20"/>
          <w:szCs w:val="20"/>
          <w:lang w:val="en-US"/>
        </w:rPr>
        <w:t>Directly linked to the need/problem identified on the ground and its root causes.</w:t>
      </w:r>
    </w:p>
    <w:p w14:paraId="412F49B9" w14:textId="77777777" w:rsidR="003B6360" w:rsidRPr="003B6360" w:rsidRDefault="003B6360" w:rsidP="003B6360">
      <w:pPr>
        <w:spacing w:after="0" w:line="276" w:lineRule="auto"/>
        <w:jc w:val="both"/>
        <w:rPr>
          <w:sz w:val="20"/>
          <w:szCs w:val="20"/>
          <w:lang w:val="en-US"/>
        </w:rPr>
      </w:pPr>
      <w:r w:rsidRPr="003B6360">
        <w:rPr>
          <w:b/>
          <w:bCs/>
          <w:sz w:val="20"/>
          <w:szCs w:val="20"/>
          <w:lang w:val="en-US"/>
        </w:rPr>
        <w:t xml:space="preserve">Time-bound: </w:t>
      </w:r>
      <w:r w:rsidRPr="003B6360">
        <w:rPr>
          <w:sz w:val="20"/>
          <w:szCs w:val="20"/>
          <w:lang w:val="en-US"/>
        </w:rPr>
        <w:t>Related to a fixed date or precise time period to allow for the evaluation of their achievement.</w:t>
      </w:r>
    </w:p>
    <w:p w14:paraId="2D67C010" w14:textId="4E2C24A2" w:rsidR="003B6360" w:rsidRPr="003B6360" w:rsidRDefault="003B6360">
      <w:pPr>
        <w:pStyle w:val="FootnoteText"/>
        <w:rPr>
          <w:lang w:val="en-US"/>
        </w:rPr>
      </w:pPr>
    </w:p>
  </w:footnote>
  <w:footnote w:id="2">
    <w:p w14:paraId="2FA66218" w14:textId="64BB27A8" w:rsidR="00B414DA" w:rsidRPr="00B414DA" w:rsidRDefault="00B414DA" w:rsidP="00B414DA">
      <w:pPr>
        <w:pStyle w:val="FootnoteText"/>
        <w:jc w:val="both"/>
        <w:rPr>
          <w:lang w:val="en-US"/>
        </w:rPr>
      </w:pPr>
      <w:r>
        <w:rPr>
          <w:rStyle w:val="FootnoteReference"/>
        </w:rPr>
        <w:footnoteRef/>
      </w:r>
      <w:r w:rsidRPr="00B414DA">
        <w:rPr>
          <w:lang w:val="en-US"/>
        </w:rPr>
        <w:t xml:space="preserve"> “Value for money” refers to the optimal use of resources to achieve intended outcomes. Value for money is not about achieving the lowest initial cost. Assessing value for money involves a combination of economy (keeping inputs –human and financial resources– as lean as possible); efficiency (how well inputs are converted to outputs to be transferred to the beneficiaries); and effectiveness (keeping the quality of the outputs as high as possible in order to have the greatest possible outcome and impact).</w:t>
      </w:r>
    </w:p>
  </w:footnote>
  <w:footnote w:id="3">
    <w:p w14:paraId="6F9F213C" w14:textId="22F94065" w:rsidR="00AA3528" w:rsidRPr="00AA3528" w:rsidRDefault="00AA3528">
      <w:pPr>
        <w:pStyle w:val="FootnoteText"/>
        <w:rPr>
          <w:lang w:val="en-US"/>
        </w:rPr>
      </w:pPr>
      <w:r>
        <w:rPr>
          <w:rStyle w:val="FootnoteReference"/>
        </w:rPr>
        <w:footnoteRef/>
      </w:r>
      <w:r w:rsidRPr="00AA3528">
        <w:rPr>
          <w:lang w:val="en-US"/>
        </w:rPr>
        <w:t xml:space="preserve"> In-kind contributions must be q</w:t>
      </w:r>
      <w:r>
        <w:rPr>
          <w:lang w:val="en-US"/>
        </w:rPr>
        <w:t>uantified.</w:t>
      </w:r>
    </w:p>
  </w:footnote>
  <w:footnote w:id="4">
    <w:p w14:paraId="5280ADE0" w14:textId="5262E9A8" w:rsidR="0071338D" w:rsidRPr="0071338D" w:rsidRDefault="0071338D" w:rsidP="00AC176D">
      <w:pPr>
        <w:pStyle w:val="FootnoteText"/>
        <w:jc w:val="both"/>
        <w:rPr>
          <w:lang w:val="en-US"/>
        </w:rPr>
      </w:pPr>
      <w:r>
        <w:rPr>
          <w:rStyle w:val="FootnoteReference"/>
        </w:rPr>
        <w:footnoteRef/>
      </w:r>
      <w:r w:rsidRPr="0071338D">
        <w:rPr>
          <w:lang w:val="en-US"/>
        </w:rPr>
        <w:t xml:space="preserve"> Whenever lump sums are included, detailed information must be provided in the label with regards to the costs covered by the lump sum (for example, "Launch Event" - Lump Sum -</w:t>
      </w:r>
      <w:r w:rsidR="00AC176D">
        <w:rPr>
          <w:lang w:val="en-US"/>
        </w:rPr>
        <w:t xml:space="preserve"> </w:t>
      </w:r>
      <w:r w:rsidR="00AC176D" w:rsidRPr="00AC176D">
        <w:rPr>
          <w:lang w:val="en-US"/>
        </w:rPr>
        <w:t>USD 1 000 - Justification: Venue (estimated at $500 based on market price value on the basis of...); refreshments (estimated at $200 for 30 participants based on 3 quotations); facilitator (estimated at $100 on the basis of market price value); transport allowance (estimated</w:t>
      </w:r>
      <w:r w:rsidR="00AC176D">
        <w:rPr>
          <w:lang w:val="en-US"/>
        </w:rPr>
        <w:t xml:space="preserve"> </w:t>
      </w:r>
      <w:r w:rsidR="00AC176D" w:rsidRPr="00AC176D">
        <w:rPr>
          <w:lang w:val="en-US"/>
        </w:rPr>
        <w:t>at $200 on the basis of current public transport price).</w:t>
      </w:r>
    </w:p>
  </w:footnote>
  <w:footnote w:id="5">
    <w:p w14:paraId="273B5106" w14:textId="26C14182" w:rsidR="00383708" w:rsidRPr="00EC29EE" w:rsidRDefault="00383708" w:rsidP="00BC3CFE">
      <w:pPr>
        <w:pStyle w:val="FootnoteText"/>
        <w:jc w:val="both"/>
        <w:rPr>
          <w:lang w:val="en-US"/>
        </w:rPr>
      </w:pPr>
      <w:r>
        <w:rPr>
          <w:rStyle w:val="FootnoteReference"/>
        </w:rPr>
        <w:footnoteRef/>
      </w:r>
      <w:r w:rsidRPr="00EC29EE">
        <w:rPr>
          <w:lang w:val="en-US"/>
        </w:rPr>
        <w:t xml:space="preserve"> </w:t>
      </w:r>
      <w:r w:rsidR="00241F31">
        <w:rPr>
          <w:lang w:val="en-US"/>
        </w:rPr>
        <w:t>Any possible intermediary banking fees, as well as the implementing partner</w:t>
      </w:r>
      <w:r w:rsidR="00BC3CFE">
        <w:rPr>
          <w:lang w:val="en-US"/>
        </w:rPr>
        <w:t>’s own banking fees associated to the</w:t>
      </w:r>
      <w:r w:rsidR="00EC29EE" w:rsidRPr="00EC29EE">
        <w:rPr>
          <w:lang w:val="en-US"/>
        </w:rPr>
        <w:t xml:space="preserve"> </w:t>
      </w:r>
      <w:r w:rsidR="00EC29EE">
        <w:rPr>
          <w:lang w:val="en-US"/>
        </w:rPr>
        <w:t>cash transfers from UNESCO to the implementing partner are to be borne by the Partner.</w:t>
      </w:r>
    </w:p>
  </w:footnote>
  <w:footnote w:id="6">
    <w:p w14:paraId="3EA0339D" w14:textId="77777777" w:rsidR="00094A2B" w:rsidRPr="00094A2B" w:rsidRDefault="00094A2B" w:rsidP="00094A2B">
      <w:pPr>
        <w:spacing w:line="240" w:lineRule="auto"/>
        <w:jc w:val="both"/>
        <w:rPr>
          <w:sz w:val="20"/>
          <w:szCs w:val="20"/>
          <w:lang w:val="en-US"/>
        </w:rPr>
      </w:pPr>
      <w:r>
        <w:rPr>
          <w:rStyle w:val="FootnoteReference"/>
        </w:rPr>
        <w:footnoteRef/>
      </w:r>
      <w:r w:rsidRPr="00094A2B">
        <w:rPr>
          <w:lang w:val="en-US"/>
        </w:rPr>
        <w:t xml:space="preserve"> </w:t>
      </w:r>
      <w:r w:rsidRPr="00094A2B">
        <w:rPr>
          <w:b/>
          <w:bCs/>
          <w:sz w:val="20"/>
          <w:szCs w:val="20"/>
          <w:lang w:val="en-US"/>
        </w:rPr>
        <w:t>Best Value for Money:</w:t>
      </w:r>
      <w:r w:rsidRPr="00094A2B">
        <w:rPr>
          <w:sz w:val="20"/>
          <w:szCs w:val="20"/>
          <w:lang w:val="en-US"/>
        </w:rPr>
        <w:t xml:space="preserve"> UNESCO shall accept partnership proposals that effectively meet UNESCO’s requirements (as stated on this Call) based on an integrated assessment of the elements of the proposal (including technical, organizational, and pricing factors) in light of their relative importance (i.e., life-cycle costs and benefits, reliability, quality, experience, reputation, past performance, cost/fee realism and reasonableness). UNESCO’s parameters also include social and environmental factors, as well as the strategic objectives of the GMDF. To ensure value for money, the Call and the related evaluation and selection processes shall maximize competition, ensure impartial and comprehensive evaluation of proposals, and ensure the selection of candidate partners whose proposals have the highest degree of relevance, realism and whose performance is expected to best meet UNESCO’s standards, specifications, statement of works and terms of reference.</w:t>
      </w:r>
    </w:p>
    <w:p w14:paraId="20006656" w14:textId="77777777" w:rsidR="00094A2B" w:rsidRPr="007A0968" w:rsidRDefault="00094A2B" w:rsidP="00094A2B">
      <w:pPr>
        <w:spacing w:line="240" w:lineRule="auto"/>
        <w:jc w:val="both"/>
        <w:rPr>
          <w:sz w:val="20"/>
          <w:szCs w:val="20"/>
          <w:lang w:val="en-US"/>
        </w:rPr>
      </w:pPr>
      <w:r w:rsidRPr="00094A2B">
        <w:rPr>
          <w:b/>
          <w:bCs/>
          <w:sz w:val="20"/>
          <w:szCs w:val="20"/>
          <w:lang w:val="en-US"/>
        </w:rPr>
        <w:t>Fairness, Integrity and Transparency:</w:t>
      </w:r>
      <w:r w:rsidRPr="00094A2B">
        <w:rPr>
          <w:sz w:val="20"/>
          <w:szCs w:val="20"/>
          <w:lang w:val="en-US"/>
        </w:rPr>
        <w:t xml:space="preserve"> Fairness refers to being reasonable as well as impartial, and treating all the same way. Integrity relates to aspects of personal and institutional behavior, including qualities such as honesty, truthfulness, impartiality, and incorruptibility. Transparency, the unimpeded visibility and openness of all transactions, ensures that all information on policies, procedures, opportunities and processes are clearly defined and made widely known and available. A transparent system increases the possibility of detecting any deviations from fair and equal treatment, and therefore makes such deviations less likely to occur. Transparency thus protects the integrity of the process and the interests of UNESCO. UNESCO shall be responsible for protecting the integrity of the process and maintaining fairness in its treatment of all potential grantees. Sound selection of grantees (i.e., openness of the process; probity; complete and accurate records; accountability; confidentiality) shall be guaranteed through rules and procedures that are attainable and unambiguous.</w:t>
      </w:r>
    </w:p>
    <w:p w14:paraId="0511CABC" w14:textId="77777777" w:rsidR="00094A2B" w:rsidRPr="00094A2B" w:rsidRDefault="00094A2B" w:rsidP="00094A2B">
      <w:pPr>
        <w:spacing w:line="240" w:lineRule="auto"/>
        <w:jc w:val="both"/>
        <w:rPr>
          <w:sz w:val="20"/>
          <w:szCs w:val="20"/>
          <w:lang w:val="en-US"/>
        </w:rPr>
      </w:pPr>
      <w:r w:rsidRPr="00094A2B">
        <w:rPr>
          <w:b/>
          <w:bCs/>
          <w:sz w:val="20"/>
          <w:szCs w:val="20"/>
          <w:lang w:val="en-US"/>
        </w:rPr>
        <w:t>Economy and Effectiveness:</w:t>
      </w:r>
      <w:r w:rsidRPr="00094A2B">
        <w:rPr>
          <w:sz w:val="20"/>
          <w:szCs w:val="20"/>
          <w:lang w:val="en-US"/>
        </w:rPr>
        <w:t xml:space="preserve"> Economy and Effectiveness refer to the extent to which UNESCO is successful in carrying out its operations, ensuring the right quantity and quality, at the right time, at the right price and to the right place, and also the extent to which the overall costs are minimized in the interest of the overall budget of the Organization. Through this principle, UNESCO shall protect the interests of the Member States and donors in the selection of candidate partners. Effectiveness helps ensure the interest of the beneficiaries is met through the selection of candidate partners that can fulfil their needs.</w:t>
      </w:r>
    </w:p>
    <w:p w14:paraId="419B7CDC" w14:textId="77777777" w:rsidR="00094A2B" w:rsidRPr="00094A2B" w:rsidRDefault="00094A2B" w:rsidP="00094A2B">
      <w:pPr>
        <w:spacing w:line="240" w:lineRule="auto"/>
        <w:jc w:val="both"/>
        <w:rPr>
          <w:sz w:val="20"/>
          <w:szCs w:val="20"/>
          <w:lang w:val="en-US"/>
        </w:rPr>
      </w:pPr>
    </w:p>
    <w:p w14:paraId="05E5A445" w14:textId="22E8F477" w:rsidR="00094A2B" w:rsidRPr="00094A2B" w:rsidRDefault="00094A2B">
      <w:pPr>
        <w:pStyle w:val="FootnoteText"/>
        <w:rPr>
          <w:lang w:val="en-US"/>
        </w:rPr>
      </w:pPr>
    </w:p>
  </w:footnote>
  <w:footnote w:id="7">
    <w:p w14:paraId="2013B5B7" w14:textId="138A2B3B" w:rsidR="00403BE7" w:rsidRPr="00403BE7" w:rsidRDefault="00403BE7" w:rsidP="00403BE7">
      <w:pPr>
        <w:pStyle w:val="FootnoteText"/>
        <w:jc w:val="both"/>
        <w:rPr>
          <w:lang w:val="en-US"/>
        </w:rPr>
      </w:pPr>
      <w:r>
        <w:rPr>
          <w:rStyle w:val="FootnoteReference"/>
        </w:rPr>
        <w:footnoteRef/>
      </w:r>
      <w:r w:rsidRPr="00403BE7">
        <w:rPr>
          <w:lang w:val="en-US"/>
        </w:rPr>
        <w:t xml:space="preserve"> For the purposes of this Call, “preselected partners” are those submitting the highest-ranked partnership proposal and invited to engage in negotiations with UNESCO to streamline the proposed budget and activities and/or define the Terms of Reference of an </w:t>
      </w:r>
      <w:r w:rsidRPr="00403BE7">
        <w:rPr>
          <w:i/>
          <w:iCs/>
          <w:lang w:val="en-US"/>
        </w:rPr>
        <w:t>Implementation Partners Agreement</w:t>
      </w:r>
      <w:r w:rsidRPr="00403BE7">
        <w:rPr>
          <w:lang w:val="en-US"/>
        </w:rPr>
        <w:t xml:space="preserve">, prior to the </w:t>
      </w:r>
      <w:r w:rsidR="00692416">
        <w:rPr>
          <w:lang w:val="en-US"/>
        </w:rPr>
        <w:t xml:space="preserve">final </w:t>
      </w:r>
      <w:r w:rsidRPr="00403BE7">
        <w:rPr>
          <w:lang w:val="en-US"/>
        </w:rPr>
        <w:t>approval and signature of the contract.</w:t>
      </w:r>
    </w:p>
  </w:footnote>
  <w:footnote w:id="8">
    <w:p w14:paraId="136207A4" w14:textId="67B864E3" w:rsidR="00A31BE5" w:rsidRPr="00E128AE" w:rsidRDefault="00A31BE5" w:rsidP="00E128AE">
      <w:pPr>
        <w:pStyle w:val="FootnoteText"/>
        <w:jc w:val="both"/>
        <w:rPr>
          <w:lang w:val="en-US"/>
        </w:rPr>
      </w:pPr>
      <w:r>
        <w:rPr>
          <w:rStyle w:val="FootnoteReference"/>
        </w:rPr>
        <w:footnoteRef/>
      </w:r>
      <w:r w:rsidRPr="00E128AE">
        <w:rPr>
          <w:lang w:val="en-US"/>
        </w:rPr>
        <w:t xml:space="preserve"> </w:t>
      </w:r>
      <w:r w:rsidR="00E128AE" w:rsidRPr="00E128AE">
        <w:rPr>
          <w:lang w:val="en-US"/>
        </w:rPr>
        <w:t>A final narrative report summarizing all actions undertaken during the duration of the IPA. The report will provide an analysis of the progress achieved against targets within given time, quantity, quality and budget constraints: in other words, an analytical assessment of project performance in terms of progress towards the achievement of results in terms of the project’s outcomes, the delivery of outputs and the implementation of activities, including references to challenges in implementation, remedial actions and lessons learned; a proposal on the next steps or actions to go beyond the objectives of the project; and information on how gender equality considerations were included throughout the development and implementation of the project, providing data disaggregated by gender.</w:t>
      </w:r>
    </w:p>
  </w:footnote>
  <w:footnote w:id="9">
    <w:p w14:paraId="284A795F" w14:textId="304283A5" w:rsidR="00F04D60" w:rsidRPr="00F04D60" w:rsidRDefault="00F04D60" w:rsidP="00F04D60">
      <w:pPr>
        <w:pStyle w:val="FootnoteText"/>
        <w:jc w:val="both"/>
        <w:rPr>
          <w:lang w:val="en-US"/>
        </w:rPr>
      </w:pPr>
      <w:r>
        <w:rPr>
          <w:rStyle w:val="FootnoteReference"/>
        </w:rPr>
        <w:footnoteRef/>
      </w:r>
      <w:r w:rsidRPr="00F04D60">
        <w:rPr>
          <w:lang w:val="en-US"/>
        </w:rPr>
        <w:t xml:space="preserve"> All expenditure reports should be certified by an authorized official from the partner</w:t>
      </w:r>
      <w:r>
        <w:rPr>
          <w:lang w:val="en-US"/>
        </w:rPr>
        <w:t xml:space="preserve"> organization</w:t>
      </w:r>
      <w:r w:rsidRPr="00F04D60">
        <w:rPr>
          <w:lang w:val="en-US"/>
        </w:rPr>
        <w:t xml:space="preserve"> attesting that the reported expenditures are accurate, that the resources have been used in accordance with budget provisions and the </w:t>
      </w:r>
      <w:r w:rsidRPr="00F04D60">
        <w:rPr>
          <w:i/>
          <w:iCs/>
          <w:lang w:val="en-US"/>
        </w:rPr>
        <w:t>Implementation Partners</w:t>
      </w:r>
      <w:r>
        <w:rPr>
          <w:i/>
          <w:iCs/>
          <w:lang w:val="en-US"/>
        </w:rPr>
        <w:t>’</w:t>
      </w:r>
      <w:r w:rsidRPr="00F04D60">
        <w:rPr>
          <w:i/>
          <w:iCs/>
          <w:lang w:val="en-US"/>
        </w:rPr>
        <w:t xml:space="preserve"> Agreement</w:t>
      </w:r>
      <w:r w:rsidRPr="00F04D60">
        <w:rPr>
          <w:lang w:val="en-US"/>
        </w:rPr>
        <w:t>'s terms and conditions, and that all expenditures are supported by relevant documents. UNESCO will only accept expenditures that are in line with the approved budget. The financial report must be certified by the partner’s own financial authority (comptroller or equivalent)</w:t>
      </w:r>
      <w:r w:rsidR="00F56A86">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20599" w14:textId="2EC656D3" w:rsidR="00EA3E90" w:rsidRPr="00EA3E90" w:rsidRDefault="00EA3E90" w:rsidP="00EA3E90">
    <w:pPr>
      <w:spacing w:after="0"/>
      <w:jc w:val="right"/>
      <w:rPr>
        <w:i/>
        <w:iCs/>
        <w:sz w:val="22"/>
        <w:szCs w:val="22"/>
        <w:lang w:val="en-US"/>
      </w:rPr>
    </w:pPr>
    <w:r w:rsidRPr="00EA3E90">
      <w:rPr>
        <w:noProof/>
        <w:sz w:val="22"/>
        <w:szCs w:val="22"/>
        <w:lang w:eastAsia="fr-FR"/>
      </w:rPr>
      <w:drawing>
        <wp:anchor distT="0" distB="0" distL="114300" distR="114300" simplePos="0" relativeHeight="251658240" behindDoc="0" locked="0" layoutInCell="1" allowOverlap="1" wp14:anchorId="07CC9B6C" wp14:editId="28FCF7A9">
          <wp:simplePos x="0" y="0"/>
          <wp:positionH relativeFrom="column">
            <wp:posOffset>0</wp:posOffset>
          </wp:positionH>
          <wp:positionV relativeFrom="paragraph">
            <wp:posOffset>-635</wp:posOffset>
          </wp:positionV>
          <wp:extent cx="2057400" cy="438150"/>
          <wp:effectExtent l="0" t="0" r="0" b="0"/>
          <wp:wrapNone/>
          <wp:docPr id="549971416" name="Picture 54997141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ue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E90">
      <w:rPr>
        <w:b/>
        <w:bCs/>
        <w:i/>
        <w:iCs/>
        <w:sz w:val="22"/>
        <w:szCs w:val="22"/>
        <w:lang w:val="en-US"/>
      </w:rPr>
      <w:t>Reference:</w:t>
    </w:r>
    <w:r w:rsidRPr="00EA3E90">
      <w:rPr>
        <w:i/>
        <w:iCs/>
        <w:sz w:val="22"/>
        <w:szCs w:val="22"/>
        <w:lang w:val="en-US"/>
      </w:rPr>
      <w:t xml:space="preserve"> CI/</w:t>
    </w:r>
    <w:r>
      <w:rPr>
        <w:i/>
        <w:iCs/>
        <w:sz w:val="22"/>
        <w:szCs w:val="22"/>
        <w:lang w:val="en-US"/>
      </w:rPr>
      <w:t>FMD/FEJ/2024/</w:t>
    </w:r>
    <w:r w:rsidR="0008249A">
      <w:rPr>
        <w:i/>
        <w:iCs/>
        <w:sz w:val="22"/>
        <w:szCs w:val="22"/>
        <w:lang w:val="en-US"/>
      </w:rPr>
      <w:t>80</w:t>
    </w:r>
  </w:p>
  <w:p w14:paraId="4448D909" w14:textId="2969A4AE" w:rsidR="00EA3E90" w:rsidRPr="00EA3E90" w:rsidRDefault="00EA3E90" w:rsidP="00EA3E90">
    <w:pPr>
      <w:jc w:val="right"/>
      <w:rPr>
        <w:i/>
        <w:iCs/>
        <w:sz w:val="22"/>
        <w:szCs w:val="22"/>
        <w:lang w:val="en-US"/>
      </w:rPr>
    </w:pPr>
    <w:r w:rsidRPr="00EA3E90">
      <w:rPr>
        <w:b/>
        <w:bCs/>
        <w:i/>
        <w:iCs/>
        <w:sz w:val="22"/>
        <w:szCs w:val="22"/>
        <w:lang w:val="en-US"/>
      </w:rPr>
      <w:t xml:space="preserve">Deadline: </w:t>
    </w:r>
    <w:r w:rsidR="00800331">
      <w:rPr>
        <w:i/>
        <w:iCs/>
        <w:sz w:val="22"/>
        <w:szCs w:val="22"/>
        <w:lang w:val="en-US"/>
      </w:rPr>
      <w:t xml:space="preserve">Friday </w:t>
    </w:r>
    <w:r w:rsidR="00656379">
      <w:rPr>
        <w:i/>
        <w:iCs/>
        <w:sz w:val="22"/>
        <w:szCs w:val="22"/>
        <w:lang w:val="en-US"/>
      </w:rPr>
      <w:t>18</w:t>
    </w:r>
    <w:r w:rsidRPr="00EA3E90">
      <w:rPr>
        <w:i/>
        <w:iCs/>
        <w:sz w:val="22"/>
        <w:szCs w:val="22"/>
        <w:lang w:val="en-US"/>
      </w:rPr>
      <w:t xml:space="preserve"> </w:t>
    </w:r>
    <w:r w:rsidR="009A702C">
      <w:rPr>
        <w:i/>
        <w:iCs/>
        <w:sz w:val="22"/>
        <w:szCs w:val="22"/>
        <w:lang w:val="en-US"/>
      </w:rPr>
      <w:t>October</w:t>
    </w:r>
    <w:r w:rsidRPr="00EA3E90">
      <w:rPr>
        <w:i/>
        <w:iCs/>
        <w:sz w:val="22"/>
        <w:szCs w:val="22"/>
        <w:lang w:val="en-US"/>
      </w:rPr>
      <w:t xml:space="preserve"> 202</w:t>
    </w:r>
    <w:r w:rsidR="009A702C">
      <w:rPr>
        <w:i/>
        <w:iCs/>
        <w:sz w:val="22"/>
        <w:szCs w:val="22"/>
        <w:lang w:val="en-US"/>
      </w:rPr>
      <w:t>4</w:t>
    </w:r>
    <w:r w:rsidR="00D37C09">
      <w:rPr>
        <w:i/>
        <w:iCs/>
        <w:sz w:val="22"/>
        <w:szCs w:val="22"/>
        <w:lang w:val="en-US"/>
      </w:rPr>
      <w:t>,</w:t>
    </w:r>
    <w:r w:rsidRPr="00EA3E90">
      <w:rPr>
        <w:i/>
        <w:iCs/>
        <w:sz w:val="22"/>
        <w:szCs w:val="22"/>
        <w:lang w:val="en-US"/>
      </w:rPr>
      <w:t xml:space="preserve"> 23:59 GMT+2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4AAC"/>
    <w:multiLevelType w:val="hybridMultilevel"/>
    <w:tmpl w:val="B26681FA"/>
    <w:lvl w:ilvl="0" w:tplc="A0B0EE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1E33D3"/>
    <w:multiLevelType w:val="hybridMultilevel"/>
    <w:tmpl w:val="BF9AE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95418"/>
    <w:multiLevelType w:val="hybridMultilevel"/>
    <w:tmpl w:val="E6F2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79BA"/>
    <w:multiLevelType w:val="hybridMultilevel"/>
    <w:tmpl w:val="748CB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A3E369E">
      <w:start w:val="11"/>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F10B0"/>
    <w:multiLevelType w:val="hybridMultilevel"/>
    <w:tmpl w:val="B218E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D36B6A"/>
    <w:multiLevelType w:val="multilevel"/>
    <w:tmpl w:val="19B6C8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105B30"/>
    <w:multiLevelType w:val="hybridMultilevel"/>
    <w:tmpl w:val="1616B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87262B"/>
    <w:multiLevelType w:val="hybridMultilevel"/>
    <w:tmpl w:val="D440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A0CC4"/>
    <w:multiLevelType w:val="hybridMultilevel"/>
    <w:tmpl w:val="D452C97C"/>
    <w:lvl w:ilvl="0" w:tplc="4AC4A106">
      <w:start w:val="1"/>
      <w:numFmt w:val="bullet"/>
      <w:lvlText w:val="-"/>
      <w:lvlJc w:val="left"/>
      <w:pPr>
        <w:ind w:left="720" w:hanging="360"/>
      </w:pPr>
      <w:rPr>
        <w:rFonts w:ascii="Aptos" w:eastAsiaTheme="minorEastAsia"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4431DA"/>
    <w:multiLevelType w:val="hybridMultilevel"/>
    <w:tmpl w:val="77C67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B51617"/>
    <w:multiLevelType w:val="multilevel"/>
    <w:tmpl w:val="6DCC898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CBE4974"/>
    <w:multiLevelType w:val="hybridMultilevel"/>
    <w:tmpl w:val="3C5E50EA"/>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0316B"/>
    <w:multiLevelType w:val="hybridMultilevel"/>
    <w:tmpl w:val="7EE829EE"/>
    <w:lvl w:ilvl="0" w:tplc="0E169F8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430AA"/>
    <w:multiLevelType w:val="hybridMultilevel"/>
    <w:tmpl w:val="5C267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DE6007"/>
    <w:multiLevelType w:val="hybridMultilevel"/>
    <w:tmpl w:val="54800E3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759DC"/>
    <w:multiLevelType w:val="multilevel"/>
    <w:tmpl w:val="026C3E4E"/>
    <w:lvl w:ilvl="0">
      <w:start w:val="5"/>
      <w:numFmt w:val="lowerLetter"/>
      <w:lvlText w:val="%1."/>
      <w:lvlJc w:val="left"/>
      <w:pPr>
        <w:tabs>
          <w:tab w:val="num" w:pos="720"/>
        </w:tabs>
        <w:ind w:left="720" w:hanging="360"/>
      </w:pPr>
    </w:lvl>
    <w:lvl w:ilvl="1">
      <w:numFmt w:val="bullet"/>
      <w:lvlText w:val="•"/>
      <w:lvlJc w:val="left"/>
      <w:pPr>
        <w:ind w:left="1785" w:hanging="705"/>
      </w:pPr>
      <w:rPr>
        <w:rFonts w:ascii="Aptos" w:eastAsiaTheme="minorEastAsia" w:hAnsi="Aptos" w:cstheme="minorBid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2E303F"/>
    <w:multiLevelType w:val="hybridMultilevel"/>
    <w:tmpl w:val="1F8E0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D2BA0"/>
    <w:multiLevelType w:val="hybridMultilevel"/>
    <w:tmpl w:val="C6728176"/>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756D9"/>
    <w:multiLevelType w:val="hybridMultilevel"/>
    <w:tmpl w:val="04B26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702F55"/>
    <w:multiLevelType w:val="hybridMultilevel"/>
    <w:tmpl w:val="B3E043BE"/>
    <w:lvl w:ilvl="0" w:tplc="4936F278">
      <w:start w:val="1"/>
      <w:numFmt w:val="low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53474"/>
    <w:multiLevelType w:val="hybridMultilevel"/>
    <w:tmpl w:val="87CC1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445CEC"/>
    <w:multiLevelType w:val="hybridMultilevel"/>
    <w:tmpl w:val="4C62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5064B"/>
    <w:multiLevelType w:val="hybridMultilevel"/>
    <w:tmpl w:val="8CFE88B8"/>
    <w:lvl w:ilvl="0" w:tplc="2236B71E">
      <w:start w:val="1"/>
      <w:numFmt w:val="lowerLetter"/>
      <w:lvlText w:val="%1."/>
      <w:lvlJc w:val="left"/>
      <w:pPr>
        <w:ind w:left="720" w:hanging="360"/>
      </w:pPr>
      <w:rPr>
        <w:rFonts w:eastAsia="Arial Unicode M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627492"/>
    <w:multiLevelType w:val="hybridMultilevel"/>
    <w:tmpl w:val="CA04B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55DE0"/>
    <w:multiLevelType w:val="multilevel"/>
    <w:tmpl w:val="E9F4FDB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785" w:hanging="705"/>
      </w:pPr>
      <w:rPr>
        <w:rFonts w:ascii="Aptos" w:eastAsiaTheme="minorEastAsia" w:hAnsi="Aptos" w:cstheme="minorBid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6605899"/>
    <w:multiLevelType w:val="hybridMultilevel"/>
    <w:tmpl w:val="035087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EC43CE"/>
    <w:multiLevelType w:val="hybridMultilevel"/>
    <w:tmpl w:val="F064D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6A55CD"/>
    <w:multiLevelType w:val="hybridMultilevel"/>
    <w:tmpl w:val="8D72C080"/>
    <w:lvl w:ilvl="0" w:tplc="336E91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5F1165C"/>
    <w:multiLevelType w:val="hybridMultilevel"/>
    <w:tmpl w:val="C6926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846E4"/>
    <w:multiLevelType w:val="multilevel"/>
    <w:tmpl w:val="B2EEF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C467D43"/>
    <w:multiLevelType w:val="multilevel"/>
    <w:tmpl w:val="8C40FC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D4F4FEF"/>
    <w:multiLevelType w:val="hybridMultilevel"/>
    <w:tmpl w:val="B4B86CE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F3E7F"/>
    <w:multiLevelType w:val="hybridMultilevel"/>
    <w:tmpl w:val="2882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1566D0"/>
    <w:multiLevelType w:val="hybridMultilevel"/>
    <w:tmpl w:val="6BF4F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DB3BFF"/>
    <w:multiLevelType w:val="multilevel"/>
    <w:tmpl w:val="B89CDF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D4934D4"/>
    <w:multiLevelType w:val="hybridMultilevel"/>
    <w:tmpl w:val="BBE8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B17F7"/>
    <w:multiLevelType w:val="hybridMultilevel"/>
    <w:tmpl w:val="0F9071E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111966">
    <w:abstractNumId w:val="8"/>
  </w:num>
  <w:num w:numId="2" w16cid:durableId="201942751">
    <w:abstractNumId w:val="0"/>
  </w:num>
  <w:num w:numId="3" w16cid:durableId="709500883">
    <w:abstractNumId w:val="27"/>
  </w:num>
  <w:num w:numId="4" w16cid:durableId="433474218">
    <w:abstractNumId w:val="21"/>
  </w:num>
  <w:num w:numId="5" w16cid:durableId="1368598533">
    <w:abstractNumId w:val="28"/>
  </w:num>
  <w:num w:numId="6" w16cid:durableId="551115811">
    <w:abstractNumId w:val="7"/>
  </w:num>
  <w:num w:numId="7" w16cid:durableId="298807696">
    <w:abstractNumId w:val="35"/>
  </w:num>
  <w:num w:numId="8" w16cid:durableId="863252575">
    <w:abstractNumId w:val="26"/>
  </w:num>
  <w:num w:numId="9" w16cid:durableId="475222237">
    <w:abstractNumId w:val="1"/>
  </w:num>
  <w:num w:numId="10" w16cid:durableId="2032947778">
    <w:abstractNumId w:val="23"/>
  </w:num>
  <w:num w:numId="11" w16cid:durableId="1093358844">
    <w:abstractNumId w:val="9"/>
  </w:num>
  <w:num w:numId="12" w16cid:durableId="124587923">
    <w:abstractNumId w:val="19"/>
  </w:num>
  <w:num w:numId="13" w16cid:durableId="917595956">
    <w:abstractNumId w:val="3"/>
  </w:num>
  <w:num w:numId="14" w16cid:durableId="2010478401">
    <w:abstractNumId w:val="25"/>
  </w:num>
  <w:num w:numId="15" w16cid:durableId="880288493">
    <w:abstractNumId w:val="13"/>
  </w:num>
  <w:num w:numId="16" w16cid:durableId="149641610">
    <w:abstractNumId w:val="18"/>
  </w:num>
  <w:num w:numId="17" w16cid:durableId="1554929906">
    <w:abstractNumId w:val="33"/>
  </w:num>
  <w:num w:numId="18" w16cid:durableId="1765421906">
    <w:abstractNumId w:val="4"/>
  </w:num>
  <w:num w:numId="19" w16cid:durableId="245067973">
    <w:abstractNumId w:val="6"/>
  </w:num>
  <w:num w:numId="20" w16cid:durableId="1515731896">
    <w:abstractNumId w:val="20"/>
  </w:num>
  <w:num w:numId="21" w16cid:durableId="1356930833">
    <w:abstractNumId w:val="16"/>
  </w:num>
  <w:num w:numId="22" w16cid:durableId="2144535571">
    <w:abstractNumId w:val="17"/>
  </w:num>
  <w:num w:numId="23" w16cid:durableId="1693723414">
    <w:abstractNumId w:val="32"/>
  </w:num>
  <w:num w:numId="24" w16cid:durableId="1829056023">
    <w:abstractNumId w:val="12"/>
  </w:num>
  <w:num w:numId="25" w16cid:durableId="862986121">
    <w:abstractNumId w:val="29"/>
  </w:num>
  <w:num w:numId="26" w16cid:durableId="1948658376">
    <w:abstractNumId w:val="5"/>
  </w:num>
  <w:num w:numId="27" w16cid:durableId="1598556163">
    <w:abstractNumId w:val="30"/>
  </w:num>
  <w:num w:numId="28" w16cid:durableId="207648102">
    <w:abstractNumId w:val="34"/>
  </w:num>
  <w:num w:numId="29" w16cid:durableId="2069572157">
    <w:abstractNumId w:val="15"/>
  </w:num>
  <w:num w:numId="30" w16cid:durableId="381446359">
    <w:abstractNumId w:val="10"/>
  </w:num>
  <w:num w:numId="31" w16cid:durableId="902103099">
    <w:abstractNumId w:val="2"/>
  </w:num>
  <w:num w:numId="32" w16cid:durableId="644505542">
    <w:abstractNumId w:val="24"/>
  </w:num>
  <w:num w:numId="33" w16cid:durableId="109859995">
    <w:abstractNumId w:val="22"/>
  </w:num>
  <w:num w:numId="34" w16cid:durableId="707610112">
    <w:abstractNumId w:val="31"/>
  </w:num>
  <w:num w:numId="35" w16cid:durableId="517695619">
    <w:abstractNumId w:val="11"/>
  </w:num>
  <w:num w:numId="36" w16cid:durableId="767577451">
    <w:abstractNumId w:val="14"/>
  </w:num>
  <w:num w:numId="37" w16cid:durableId="135823737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DF"/>
    <w:rsid w:val="000014C4"/>
    <w:rsid w:val="0000219B"/>
    <w:rsid w:val="000032D7"/>
    <w:rsid w:val="000048B1"/>
    <w:rsid w:val="000069EB"/>
    <w:rsid w:val="000117C9"/>
    <w:rsid w:val="00012069"/>
    <w:rsid w:val="000179DF"/>
    <w:rsid w:val="000212DE"/>
    <w:rsid w:val="000226A6"/>
    <w:rsid w:val="000232D7"/>
    <w:rsid w:val="0002606E"/>
    <w:rsid w:val="00027379"/>
    <w:rsid w:val="0002790F"/>
    <w:rsid w:val="00030995"/>
    <w:rsid w:val="000315C1"/>
    <w:rsid w:val="00035CCB"/>
    <w:rsid w:val="000415D1"/>
    <w:rsid w:val="00041B84"/>
    <w:rsid w:val="0004246C"/>
    <w:rsid w:val="00042AF5"/>
    <w:rsid w:val="00044DCB"/>
    <w:rsid w:val="00046962"/>
    <w:rsid w:val="0005707C"/>
    <w:rsid w:val="000613A2"/>
    <w:rsid w:val="00061654"/>
    <w:rsid w:val="00063B4C"/>
    <w:rsid w:val="00065F13"/>
    <w:rsid w:val="00067E5D"/>
    <w:rsid w:val="000734A5"/>
    <w:rsid w:val="00076369"/>
    <w:rsid w:val="000763B9"/>
    <w:rsid w:val="00076D29"/>
    <w:rsid w:val="00082134"/>
    <w:rsid w:val="0008249A"/>
    <w:rsid w:val="00082D69"/>
    <w:rsid w:val="00083A1F"/>
    <w:rsid w:val="0008598E"/>
    <w:rsid w:val="00085EA2"/>
    <w:rsid w:val="00092863"/>
    <w:rsid w:val="00094A2B"/>
    <w:rsid w:val="00095C15"/>
    <w:rsid w:val="000A28D3"/>
    <w:rsid w:val="000B177E"/>
    <w:rsid w:val="000B36D8"/>
    <w:rsid w:val="000B659E"/>
    <w:rsid w:val="000C0B81"/>
    <w:rsid w:val="000C2288"/>
    <w:rsid w:val="000C4444"/>
    <w:rsid w:val="000C7DE8"/>
    <w:rsid w:val="000D2C5B"/>
    <w:rsid w:val="000D2D77"/>
    <w:rsid w:val="000D42BA"/>
    <w:rsid w:val="000D4A51"/>
    <w:rsid w:val="000D71BE"/>
    <w:rsid w:val="000E3AF7"/>
    <w:rsid w:val="000E3E6D"/>
    <w:rsid w:val="000E5F69"/>
    <w:rsid w:val="000E7F52"/>
    <w:rsid w:val="000F248E"/>
    <w:rsid w:val="000F69FD"/>
    <w:rsid w:val="00104C6F"/>
    <w:rsid w:val="0010559A"/>
    <w:rsid w:val="001072F9"/>
    <w:rsid w:val="00107663"/>
    <w:rsid w:val="00112C6C"/>
    <w:rsid w:val="0011719E"/>
    <w:rsid w:val="00117C36"/>
    <w:rsid w:val="00127E3A"/>
    <w:rsid w:val="00135F74"/>
    <w:rsid w:val="001446C0"/>
    <w:rsid w:val="001502C6"/>
    <w:rsid w:val="00150ADC"/>
    <w:rsid w:val="00154782"/>
    <w:rsid w:val="0015495D"/>
    <w:rsid w:val="00156FC5"/>
    <w:rsid w:val="001644B1"/>
    <w:rsid w:val="00164C35"/>
    <w:rsid w:val="00165F2A"/>
    <w:rsid w:val="001728C3"/>
    <w:rsid w:val="00173E9E"/>
    <w:rsid w:val="0017440C"/>
    <w:rsid w:val="00176EFA"/>
    <w:rsid w:val="00177FB2"/>
    <w:rsid w:val="00182F38"/>
    <w:rsid w:val="00183272"/>
    <w:rsid w:val="00184210"/>
    <w:rsid w:val="00185DDB"/>
    <w:rsid w:val="001A45E3"/>
    <w:rsid w:val="001A7281"/>
    <w:rsid w:val="001B0A06"/>
    <w:rsid w:val="001B15C3"/>
    <w:rsid w:val="001B4A25"/>
    <w:rsid w:val="001C1ACB"/>
    <w:rsid w:val="001C37DB"/>
    <w:rsid w:val="001C5767"/>
    <w:rsid w:val="001C5F3B"/>
    <w:rsid w:val="001D1B47"/>
    <w:rsid w:val="001D4230"/>
    <w:rsid w:val="001D6098"/>
    <w:rsid w:val="001E091C"/>
    <w:rsid w:val="001E1819"/>
    <w:rsid w:val="001E1A71"/>
    <w:rsid w:val="001E5594"/>
    <w:rsid w:val="001E588C"/>
    <w:rsid w:val="001F3DBD"/>
    <w:rsid w:val="001F7A9B"/>
    <w:rsid w:val="00205050"/>
    <w:rsid w:val="00207654"/>
    <w:rsid w:val="00210FF7"/>
    <w:rsid w:val="002113F6"/>
    <w:rsid w:val="00211DC4"/>
    <w:rsid w:val="0022335E"/>
    <w:rsid w:val="00225A1A"/>
    <w:rsid w:val="002301DB"/>
    <w:rsid w:val="00233215"/>
    <w:rsid w:val="00234136"/>
    <w:rsid w:val="00240CFE"/>
    <w:rsid w:val="0024135D"/>
    <w:rsid w:val="00241F31"/>
    <w:rsid w:val="002425B6"/>
    <w:rsid w:val="002428CD"/>
    <w:rsid w:val="00243EC0"/>
    <w:rsid w:val="002449C8"/>
    <w:rsid w:val="00245CFF"/>
    <w:rsid w:val="002461DA"/>
    <w:rsid w:val="00247D74"/>
    <w:rsid w:val="00251670"/>
    <w:rsid w:val="00255B56"/>
    <w:rsid w:val="002569DD"/>
    <w:rsid w:val="00260FCB"/>
    <w:rsid w:val="00261143"/>
    <w:rsid w:val="00262E5B"/>
    <w:rsid w:val="00265F7E"/>
    <w:rsid w:val="00265FC1"/>
    <w:rsid w:val="00266E7F"/>
    <w:rsid w:val="002710DB"/>
    <w:rsid w:val="0027124D"/>
    <w:rsid w:val="00271CD5"/>
    <w:rsid w:val="00276C4D"/>
    <w:rsid w:val="00277E25"/>
    <w:rsid w:val="002816E9"/>
    <w:rsid w:val="002818CB"/>
    <w:rsid w:val="00285C47"/>
    <w:rsid w:val="0028720D"/>
    <w:rsid w:val="00290639"/>
    <w:rsid w:val="00290A3B"/>
    <w:rsid w:val="002A293F"/>
    <w:rsid w:val="002A3768"/>
    <w:rsid w:val="002A5383"/>
    <w:rsid w:val="002A61CE"/>
    <w:rsid w:val="002A788B"/>
    <w:rsid w:val="002B07DE"/>
    <w:rsid w:val="002B0A13"/>
    <w:rsid w:val="002B46F1"/>
    <w:rsid w:val="002B4BC7"/>
    <w:rsid w:val="002B59EB"/>
    <w:rsid w:val="002B5C88"/>
    <w:rsid w:val="002B5D2C"/>
    <w:rsid w:val="002C0043"/>
    <w:rsid w:val="002C2B3C"/>
    <w:rsid w:val="002C5747"/>
    <w:rsid w:val="002C58A0"/>
    <w:rsid w:val="002D5231"/>
    <w:rsid w:val="002D65CE"/>
    <w:rsid w:val="002E0043"/>
    <w:rsid w:val="002E1228"/>
    <w:rsid w:val="002E12C4"/>
    <w:rsid w:val="002E2354"/>
    <w:rsid w:val="002E6376"/>
    <w:rsid w:val="002F17B7"/>
    <w:rsid w:val="002F2F8B"/>
    <w:rsid w:val="002F3C6C"/>
    <w:rsid w:val="002F7D3E"/>
    <w:rsid w:val="00302CBD"/>
    <w:rsid w:val="00307C51"/>
    <w:rsid w:val="00312F66"/>
    <w:rsid w:val="003142BC"/>
    <w:rsid w:val="0032001A"/>
    <w:rsid w:val="00320891"/>
    <w:rsid w:val="00320E99"/>
    <w:rsid w:val="00321081"/>
    <w:rsid w:val="00321722"/>
    <w:rsid w:val="0032243F"/>
    <w:rsid w:val="0032298A"/>
    <w:rsid w:val="00322B0E"/>
    <w:rsid w:val="00322C18"/>
    <w:rsid w:val="003249F4"/>
    <w:rsid w:val="00332046"/>
    <w:rsid w:val="003402C5"/>
    <w:rsid w:val="003428B9"/>
    <w:rsid w:val="003434C1"/>
    <w:rsid w:val="00343E9C"/>
    <w:rsid w:val="00346572"/>
    <w:rsid w:val="0035057D"/>
    <w:rsid w:val="00352819"/>
    <w:rsid w:val="003559B1"/>
    <w:rsid w:val="00355A8C"/>
    <w:rsid w:val="00356067"/>
    <w:rsid w:val="003566F9"/>
    <w:rsid w:val="00360339"/>
    <w:rsid w:val="00363268"/>
    <w:rsid w:val="00365B3F"/>
    <w:rsid w:val="00365C09"/>
    <w:rsid w:val="003667BC"/>
    <w:rsid w:val="0036750A"/>
    <w:rsid w:val="003676EB"/>
    <w:rsid w:val="003728CC"/>
    <w:rsid w:val="00373966"/>
    <w:rsid w:val="003750C4"/>
    <w:rsid w:val="00382F23"/>
    <w:rsid w:val="00383708"/>
    <w:rsid w:val="00384C47"/>
    <w:rsid w:val="00387E1A"/>
    <w:rsid w:val="00392606"/>
    <w:rsid w:val="003A0F88"/>
    <w:rsid w:val="003A44A2"/>
    <w:rsid w:val="003B1DE7"/>
    <w:rsid w:val="003B3767"/>
    <w:rsid w:val="003B550D"/>
    <w:rsid w:val="003B6360"/>
    <w:rsid w:val="003C0749"/>
    <w:rsid w:val="003C1006"/>
    <w:rsid w:val="003C484E"/>
    <w:rsid w:val="003D065B"/>
    <w:rsid w:val="003D48A8"/>
    <w:rsid w:val="003D5AEE"/>
    <w:rsid w:val="003D6B4F"/>
    <w:rsid w:val="003E5817"/>
    <w:rsid w:val="003F0F6D"/>
    <w:rsid w:val="003F121F"/>
    <w:rsid w:val="003F2A34"/>
    <w:rsid w:val="003F65A2"/>
    <w:rsid w:val="003F77B5"/>
    <w:rsid w:val="003F77CF"/>
    <w:rsid w:val="003F781B"/>
    <w:rsid w:val="00400258"/>
    <w:rsid w:val="0040120C"/>
    <w:rsid w:val="00403BE7"/>
    <w:rsid w:val="004047E5"/>
    <w:rsid w:val="00404CD0"/>
    <w:rsid w:val="00405A57"/>
    <w:rsid w:val="00406C1F"/>
    <w:rsid w:val="00406DB0"/>
    <w:rsid w:val="00407077"/>
    <w:rsid w:val="004077DF"/>
    <w:rsid w:val="00407FC3"/>
    <w:rsid w:val="00411F75"/>
    <w:rsid w:val="00414B41"/>
    <w:rsid w:val="0041640E"/>
    <w:rsid w:val="00421979"/>
    <w:rsid w:val="00424615"/>
    <w:rsid w:val="00427356"/>
    <w:rsid w:val="004301A6"/>
    <w:rsid w:val="004318B8"/>
    <w:rsid w:val="004331EE"/>
    <w:rsid w:val="00445272"/>
    <w:rsid w:val="00447291"/>
    <w:rsid w:val="00447811"/>
    <w:rsid w:val="004575BC"/>
    <w:rsid w:val="00457E04"/>
    <w:rsid w:val="0046283D"/>
    <w:rsid w:val="004634E0"/>
    <w:rsid w:val="0046446B"/>
    <w:rsid w:val="00465F7F"/>
    <w:rsid w:val="00466D1B"/>
    <w:rsid w:val="00466FF6"/>
    <w:rsid w:val="00473AF0"/>
    <w:rsid w:val="00473F3D"/>
    <w:rsid w:val="004743FE"/>
    <w:rsid w:val="00475599"/>
    <w:rsid w:val="00476683"/>
    <w:rsid w:val="00480463"/>
    <w:rsid w:val="00480FCD"/>
    <w:rsid w:val="0048542B"/>
    <w:rsid w:val="00487FAD"/>
    <w:rsid w:val="00494CAE"/>
    <w:rsid w:val="004950B2"/>
    <w:rsid w:val="00496293"/>
    <w:rsid w:val="004A731D"/>
    <w:rsid w:val="004A7447"/>
    <w:rsid w:val="004B15C9"/>
    <w:rsid w:val="004B4EB6"/>
    <w:rsid w:val="004B6964"/>
    <w:rsid w:val="004C45E8"/>
    <w:rsid w:val="004D0802"/>
    <w:rsid w:val="004D3CBC"/>
    <w:rsid w:val="004D4F04"/>
    <w:rsid w:val="004E3215"/>
    <w:rsid w:val="004E5677"/>
    <w:rsid w:val="004F22B2"/>
    <w:rsid w:val="004F3C0A"/>
    <w:rsid w:val="004F4115"/>
    <w:rsid w:val="004F53B6"/>
    <w:rsid w:val="00500A0E"/>
    <w:rsid w:val="00504F65"/>
    <w:rsid w:val="00507710"/>
    <w:rsid w:val="00507C5E"/>
    <w:rsid w:val="00511289"/>
    <w:rsid w:val="00511353"/>
    <w:rsid w:val="00511C57"/>
    <w:rsid w:val="005170B8"/>
    <w:rsid w:val="005209E9"/>
    <w:rsid w:val="005221FA"/>
    <w:rsid w:val="0052365C"/>
    <w:rsid w:val="005238E8"/>
    <w:rsid w:val="00525ADA"/>
    <w:rsid w:val="00526326"/>
    <w:rsid w:val="00527885"/>
    <w:rsid w:val="00537022"/>
    <w:rsid w:val="00537389"/>
    <w:rsid w:val="00540DAC"/>
    <w:rsid w:val="005455E7"/>
    <w:rsid w:val="00545A16"/>
    <w:rsid w:val="00554029"/>
    <w:rsid w:val="0055651D"/>
    <w:rsid w:val="00556BE2"/>
    <w:rsid w:val="0055778E"/>
    <w:rsid w:val="00560098"/>
    <w:rsid w:val="00560D8F"/>
    <w:rsid w:val="005648E6"/>
    <w:rsid w:val="00565399"/>
    <w:rsid w:val="00567C0E"/>
    <w:rsid w:val="00571604"/>
    <w:rsid w:val="00572EB2"/>
    <w:rsid w:val="0057593C"/>
    <w:rsid w:val="00580CD6"/>
    <w:rsid w:val="0058484F"/>
    <w:rsid w:val="005934FD"/>
    <w:rsid w:val="00593C5B"/>
    <w:rsid w:val="00593F96"/>
    <w:rsid w:val="005965D1"/>
    <w:rsid w:val="005A34B0"/>
    <w:rsid w:val="005A532D"/>
    <w:rsid w:val="005A5E75"/>
    <w:rsid w:val="005A704B"/>
    <w:rsid w:val="005B1358"/>
    <w:rsid w:val="005B4A72"/>
    <w:rsid w:val="005B61F9"/>
    <w:rsid w:val="005C47D2"/>
    <w:rsid w:val="005C621C"/>
    <w:rsid w:val="005C63E5"/>
    <w:rsid w:val="005D034D"/>
    <w:rsid w:val="005D12FF"/>
    <w:rsid w:val="005D3FA2"/>
    <w:rsid w:val="005D6116"/>
    <w:rsid w:val="005D6FFD"/>
    <w:rsid w:val="005D7039"/>
    <w:rsid w:val="005E7336"/>
    <w:rsid w:val="005E7698"/>
    <w:rsid w:val="005F1429"/>
    <w:rsid w:val="005F1B31"/>
    <w:rsid w:val="005F4FC0"/>
    <w:rsid w:val="005F632C"/>
    <w:rsid w:val="005F6997"/>
    <w:rsid w:val="005F7677"/>
    <w:rsid w:val="00606228"/>
    <w:rsid w:val="0061020F"/>
    <w:rsid w:val="00611676"/>
    <w:rsid w:val="00612B4E"/>
    <w:rsid w:val="0061423C"/>
    <w:rsid w:val="00614B82"/>
    <w:rsid w:val="0061646D"/>
    <w:rsid w:val="0062376B"/>
    <w:rsid w:val="00624991"/>
    <w:rsid w:val="00625693"/>
    <w:rsid w:val="00626C86"/>
    <w:rsid w:val="00627101"/>
    <w:rsid w:val="00632786"/>
    <w:rsid w:val="006370E6"/>
    <w:rsid w:val="006406C9"/>
    <w:rsid w:val="00642901"/>
    <w:rsid w:val="00642C97"/>
    <w:rsid w:val="00646CA1"/>
    <w:rsid w:val="006503F9"/>
    <w:rsid w:val="00650DD3"/>
    <w:rsid w:val="00653449"/>
    <w:rsid w:val="00656379"/>
    <w:rsid w:val="0065794C"/>
    <w:rsid w:val="00657F2B"/>
    <w:rsid w:val="00661AA3"/>
    <w:rsid w:val="0066384B"/>
    <w:rsid w:val="00666599"/>
    <w:rsid w:val="00670E0D"/>
    <w:rsid w:val="00672A94"/>
    <w:rsid w:val="00674C16"/>
    <w:rsid w:val="00676AFB"/>
    <w:rsid w:val="00684B4C"/>
    <w:rsid w:val="00685BBA"/>
    <w:rsid w:val="0069008A"/>
    <w:rsid w:val="00692416"/>
    <w:rsid w:val="006924EA"/>
    <w:rsid w:val="00692DE9"/>
    <w:rsid w:val="00695857"/>
    <w:rsid w:val="006967B8"/>
    <w:rsid w:val="00696CF2"/>
    <w:rsid w:val="006A3DBD"/>
    <w:rsid w:val="006A4846"/>
    <w:rsid w:val="006A4954"/>
    <w:rsid w:val="006A729F"/>
    <w:rsid w:val="006B0CA0"/>
    <w:rsid w:val="006B53F7"/>
    <w:rsid w:val="006C0D76"/>
    <w:rsid w:val="006C36B0"/>
    <w:rsid w:val="006C6670"/>
    <w:rsid w:val="006D0CDE"/>
    <w:rsid w:val="006D1615"/>
    <w:rsid w:val="006D2A55"/>
    <w:rsid w:val="006D3A4C"/>
    <w:rsid w:val="006D3F7D"/>
    <w:rsid w:val="006D468F"/>
    <w:rsid w:val="006D50E5"/>
    <w:rsid w:val="006D51ED"/>
    <w:rsid w:val="006D70B7"/>
    <w:rsid w:val="006E54CB"/>
    <w:rsid w:val="006F08BD"/>
    <w:rsid w:val="006F0F4E"/>
    <w:rsid w:val="006F4876"/>
    <w:rsid w:val="00701139"/>
    <w:rsid w:val="00703678"/>
    <w:rsid w:val="007037FF"/>
    <w:rsid w:val="007045B8"/>
    <w:rsid w:val="007047FD"/>
    <w:rsid w:val="00704A81"/>
    <w:rsid w:val="00707552"/>
    <w:rsid w:val="00707650"/>
    <w:rsid w:val="00710AAE"/>
    <w:rsid w:val="00711932"/>
    <w:rsid w:val="0071338D"/>
    <w:rsid w:val="007164B8"/>
    <w:rsid w:val="00717283"/>
    <w:rsid w:val="00722C35"/>
    <w:rsid w:val="007255BD"/>
    <w:rsid w:val="007312F6"/>
    <w:rsid w:val="00731433"/>
    <w:rsid w:val="00740A76"/>
    <w:rsid w:val="00740D0B"/>
    <w:rsid w:val="00740DF7"/>
    <w:rsid w:val="007451BB"/>
    <w:rsid w:val="00747185"/>
    <w:rsid w:val="00747E20"/>
    <w:rsid w:val="0075074D"/>
    <w:rsid w:val="00752532"/>
    <w:rsid w:val="007525C5"/>
    <w:rsid w:val="00756EBD"/>
    <w:rsid w:val="00760301"/>
    <w:rsid w:val="00765ECB"/>
    <w:rsid w:val="00770D87"/>
    <w:rsid w:val="00772E57"/>
    <w:rsid w:val="0078044C"/>
    <w:rsid w:val="00780DA5"/>
    <w:rsid w:val="00780EA6"/>
    <w:rsid w:val="007818C1"/>
    <w:rsid w:val="00783ADE"/>
    <w:rsid w:val="007846AE"/>
    <w:rsid w:val="00792967"/>
    <w:rsid w:val="0079340E"/>
    <w:rsid w:val="007958F6"/>
    <w:rsid w:val="007972D5"/>
    <w:rsid w:val="007A0968"/>
    <w:rsid w:val="007A2340"/>
    <w:rsid w:val="007A6461"/>
    <w:rsid w:val="007B6AFB"/>
    <w:rsid w:val="007C6268"/>
    <w:rsid w:val="007C6BE9"/>
    <w:rsid w:val="007C7C3D"/>
    <w:rsid w:val="007D0076"/>
    <w:rsid w:val="007D1B5A"/>
    <w:rsid w:val="007D4F03"/>
    <w:rsid w:val="007E411A"/>
    <w:rsid w:val="007E4E38"/>
    <w:rsid w:val="007E654D"/>
    <w:rsid w:val="007F27B3"/>
    <w:rsid w:val="007F3384"/>
    <w:rsid w:val="007F3E18"/>
    <w:rsid w:val="007F4C79"/>
    <w:rsid w:val="007F6972"/>
    <w:rsid w:val="007F7039"/>
    <w:rsid w:val="007F7E59"/>
    <w:rsid w:val="00800331"/>
    <w:rsid w:val="008005B9"/>
    <w:rsid w:val="00806079"/>
    <w:rsid w:val="008119B8"/>
    <w:rsid w:val="00813B9A"/>
    <w:rsid w:val="008177D3"/>
    <w:rsid w:val="0082229E"/>
    <w:rsid w:val="00822BC1"/>
    <w:rsid w:val="00827DA7"/>
    <w:rsid w:val="00831660"/>
    <w:rsid w:val="00831F04"/>
    <w:rsid w:val="008334CB"/>
    <w:rsid w:val="008336BD"/>
    <w:rsid w:val="00847D3F"/>
    <w:rsid w:val="00850A9C"/>
    <w:rsid w:val="008527F0"/>
    <w:rsid w:val="00855A8E"/>
    <w:rsid w:val="00870391"/>
    <w:rsid w:val="00870E95"/>
    <w:rsid w:val="0087440F"/>
    <w:rsid w:val="00874A66"/>
    <w:rsid w:val="008800C2"/>
    <w:rsid w:val="00882EE0"/>
    <w:rsid w:val="00890D27"/>
    <w:rsid w:val="0089407F"/>
    <w:rsid w:val="00896662"/>
    <w:rsid w:val="00896929"/>
    <w:rsid w:val="00896AC7"/>
    <w:rsid w:val="008A0AA8"/>
    <w:rsid w:val="008A29CC"/>
    <w:rsid w:val="008A52D3"/>
    <w:rsid w:val="008A5881"/>
    <w:rsid w:val="008B3747"/>
    <w:rsid w:val="008B3F14"/>
    <w:rsid w:val="008B5799"/>
    <w:rsid w:val="008B5CB3"/>
    <w:rsid w:val="008B7A80"/>
    <w:rsid w:val="008B7B8D"/>
    <w:rsid w:val="008C1456"/>
    <w:rsid w:val="008C7800"/>
    <w:rsid w:val="008D0B58"/>
    <w:rsid w:val="008D1A55"/>
    <w:rsid w:val="008D490B"/>
    <w:rsid w:val="008D7296"/>
    <w:rsid w:val="008E04F4"/>
    <w:rsid w:val="008E2AD3"/>
    <w:rsid w:val="008E6AE9"/>
    <w:rsid w:val="008E7465"/>
    <w:rsid w:val="008F0819"/>
    <w:rsid w:val="008F519A"/>
    <w:rsid w:val="008F63C6"/>
    <w:rsid w:val="00900C89"/>
    <w:rsid w:val="00901D18"/>
    <w:rsid w:val="009035F2"/>
    <w:rsid w:val="00906101"/>
    <w:rsid w:val="009112E3"/>
    <w:rsid w:val="00911B61"/>
    <w:rsid w:val="00913D29"/>
    <w:rsid w:val="00915EFE"/>
    <w:rsid w:val="00920AD0"/>
    <w:rsid w:val="009268C0"/>
    <w:rsid w:val="00934CB8"/>
    <w:rsid w:val="00935D65"/>
    <w:rsid w:val="009437FE"/>
    <w:rsid w:val="00943AB6"/>
    <w:rsid w:val="00943E59"/>
    <w:rsid w:val="00944CF6"/>
    <w:rsid w:val="00950C74"/>
    <w:rsid w:val="00951363"/>
    <w:rsid w:val="009536B2"/>
    <w:rsid w:val="009578C0"/>
    <w:rsid w:val="00957FA5"/>
    <w:rsid w:val="00960FA6"/>
    <w:rsid w:val="00972479"/>
    <w:rsid w:val="00973602"/>
    <w:rsid w:val="00973F8C"/>
    <w:rsid w:val="00975901"/>
    <w:rsid w:val="009759B6"/>
    <w:rsid w:val="00981378"/>
    <w:rsid w:val="00983DC8"/>
    <w:rsid w:val="009870F5"/>
    <w:rsid w:val="00990291"/>
    <w:rsid w:val="00990A05"/>
    <w:rsid w:val="00992524"/>
    <w:rsid w:val="00994729"/>
    <w:rsid w:val="00996A9E"/>
    <w:rsid w:val="009973BB"/>
    <w:rsid w:val="009A0B80"/>
    <w:rsid w:val="009A1B9C"/>
    <w:rsid w:val="009A702C"/>
    <w:rsid w:val="009A7C91"/>
    <w:rsid w:val="009B0D7B"/>
    <w:rsid w:val="009B0EA6"/>
    <w:rsid w:val="009B1F19"/>
    <w:rsid w:val="009B2612"/>
    <w:rsid w:val="009B68F1"/>
    <w:rsid w:val="009C06F3"/>
    <w:rsid w:val="009C4FB3"/>
    <w:rsid w:val="009C6AF5"/>
    <w:rsid w:val="009D31CA"/>
    <w:rsid w:val="009D6333"/>
    <w:rsid w:val="009D7D22"/>
    <w:rsid w:val="009E1189"/>
    <w:rsid w:val="009E136F"/>
    <w:rsid w:val="009E2555"/>
    <w:rsid w:val="009F177F"/>
    <w:rsid w:val="009F2E7B"/>
    <w:rsid w:val="009F3BDC"/>
    <w:rsid w:val="009F3BF8"/>
    <w:rsid w:val="009F4936"/>
    <w:rsid w:val="009F4BAE"/>
    <w:rsid w:val="009F5082"/>
    <w:rsid w:val="009F57F5"/>
    <w:rsid w:val="009F66EB"/>
    <w:rsid w:val="009F6C09"/>
    <w:rsid w:val="00A03363"/>
    <w:rsid w:val="00A116D4"/>
    <w:rsid w:val="00A12366"/>
    <w:rsid w:val="00A12DD7"/>
    <w:rsid w:val="00A2127A"/>
    <w:rsid w:val="00A2308F"/>
    <w:rsid w:val="00A24A4D"/>
    <w:rsid w:val="00A31BE5"/>
    <w:rsid w:val="00A320B2"/>
    <w:rsid w:val="00A32776"/>
    <w:rsid w:val="00A3608A"/>
    <w:rsid w:val="00A362B5"/>
    <w:rsid w:val="00A40A02"/>
    <w:rsid w:val="00A4102D"/>
    <w:rsid w:val="00A46028"/>
    <w:rsid w:val="00A46C79"/>
    <w:rsid w:val="00A54C47"/>
    <w:rsid w:val="00A560FA"/>
    <w:rsid w:val="00A57808"/>
    <w:rsid w:val="00A624FE"/>
    <w:rsid w:val="00A63AAE"/>
    <w:rsid w:val="00A63CE7"/>
    <w:rsid w:val="00A65639"/>
    <w:rsid w:val="00A712CE"/>
    <w:rsid w:val="00A7451A"/>
    <w:rsid w:val="00A775D6"/>
    <w:rsid w:val="00A80FAF"/>
    <w:rsid w:val="00A81733"/>
    <w:rsid w:val="00A82B7E"/>
    <w:rsid w:val="00A832F8"/>
    <w:rsid w:val="00A8368B"/>
    <w:rsid w:val="00A97033"/>
    <w:rsid w:val="00AA1AF3"/>
    <w:rsid w:val="00AA2479"/>
    <w:rsid w:val="00AA3528"/>
    <w:rsid w:val="00AA6565"/>
    <w:rsid w:val="00AA7C69"/>
    <w:rsid w:val="00AB4FC4"/>
    <w:rsid w:val="00AB5D35"/>
    <w:rsid w:val="00AB73C8"/>
    <w:rsid w:val="00AC176D"/>
    <w:rsid w:val="00AD50FC"/>
    <w:rsid w:val="00AD692D"/>
    <w:rsid w:val="00AE2983"/>
    <w:rsid w:val="00AF2DAF"/>
    <w:rsid w:val="00B02909"/>
    <w:rsid w:val="00B04AA3"/>
    <w:rsid w:val="00B07464"/>
    <w:rsid w:val="00B10BE9"/>
    <w:rsid w:val="00B1352A"/>
    <w:rsid w:val="00B13701"/>
    <w:rsid w:val="00B204E6"/>
    <w:rsid w:val="00B21521"/>
    <w:rsid w:val="00B245C8"/>
    <w:rsid w:val="00B26346"/>
    <w:rsid w:val="00B30063"/>
    <w:rsid w:val="00B312D5"/>
    <w:rsid w:val="00B334DF"/>
    <w:rsid w:val="00B34425"/>
    <w:rsid w:val="00B35E9D"/>
    <w:rsid w:val="00B414DA"/>
    <w:rsid w:val="00B41C7E"/>
    <w:rsid w:val="00B42730"/>
    <w:rsid w:val="00B5074A"/>
    <w:rsid w:val="00B52044"/>
    <w:rsid w:val="00B520E3"/>
    <w:rsid w:val="00B523BD"/>
    <w:rsid w:val="00B53076"/>
    <w:rsid w:val="00B53C8E"/>
    <w:rsid w:val="00B54161"/>
    <w:rsid w:val="00B54C90"/>
    <w:rsid w:val="00B5786E"/>
    <w:rsid w:val="00B60E09"/>
    <w:rsid w:val="00B63738"/>
    <w:rsid w:val="00B66713"/>
    <w:rsid w:val="00B700BE"/>
    <w:rsid w:val="00B72721"/>
    <w:rsid w:val="00B74173"/>
    <w:rsid w:val="00B7633B"/>
    <w:rsid w:val="00B76509"/>
    <w:rsid w:val="00B769E4"/>
    <w:rsid w:val="00B829D6"/>
    <w:rsid w:val="00B8346F"/>
    <w:rsid w:val="00B83F54"/>
    <w:rsid w:val="00B84329"/>
    <w:rsid w:val="00B86D40"/>
    <w:rsid w:val="00B86E46"/>
    <w:rsid w:val="00B9254D"/>
    <w:rsid w:val="00B92FD2"/>
    <w:rsid w:val="00B968CA"/>
    <w:rsid w:val="00BA4281"/>
    <w:rsid w:val="00BA42D1"/>
    <w:rsid w:val="00BA5F80"/>
    <w:rsid w:val="00BA664B"/>
    <w:rsid w:val="00BB0931"/>
    <w:rsid w:val="00BB1B92"/>
    <w:rsid w:val="00BB3B41"/>
    <w:rsid w:val="00BB78C2"/>
    <w:rsid w:val="00BC0A91"/>
    <w:rsid w:val="00BC3CFE"/>
    <w:rsid w:val="00BC45E1"/>
    <w:rsid w:val="00BC4660"/>
    <w:rsid w:val="00BC5788"/>
    <w:rsid w:val="00BC6065"/>
    <w:rsid w:val="00BC6E3D"/>
    <w:rsid w:val="00BD10F1"/>
    <w:rsid w:val="00BD24DC"/>
    <w:rsid w:val="00BD53AC"/>
    <w:rsid w:val="00BD5DEC"/>
    <w:rsid w:val="00BD7FDD"/>
    <w:rsid w:val="00BE35B0"/>
    <w:rsid w:val="00BE581F"/>
    <w:rsid w:val="00BE73E4"/>
    <w:rsid w:val="00BF0CC2"/>
    <w:rsid w:val="00BF265A"/>
    <w:rsid w:val="00BF33AD"/>
    <w:rsid w:val="00BF64FC"/>
    <w:rsid w:val="00BF7EDD"/>
    <w:rsid w:val="00C00F61"/>
    <w:rsid w:val="00C0145F"/>
    <w:rsid w:val="00C111D3"/>
    <w:rsid w:val="00C20F8E"/>
    <w:rsid w:val="00C21F7C"/>
    <w:rsid w:val="00C250F4"/>
    <w:rsid w:val="00C25754"/>
    <w:rsid w:val="00C25C15"/>
    <w:rsid w:val="00C3013F"/>
    <w:rsid w:val="00C31547"/>
    <w:rsid w:val="00C32274"/>
    <w:rsid w:val="00C4104F"/>
    <w:rsid w:val="00C42417"/>
    <w:rsid w:val="00C471DA"/>
    <w:rsid w:val="00C47E93"/>
    <w:rsid w:val="00C51D55"/>
    <w:rsid w:val="00C52A6B"/>
    <w:rsid w:val="00C558E2"/>
    <w:rsid w:val="00C57C43"/>
    <w:rsid w:val="00C610D9"/>
    <w:rsid w:val="00C643F8"/>
    <w:rsid w:val="00C65161"/>
    <w:rsid w:val="00C65956"/>
    <w:rsid w:val="00C66A9C"/>
    <w:rsid w:val="00C67E45"/>
    <w:rsid w:val="00C7331C"/>
    <w:rsid w:val="00C743E4"/>
    <w:rsid w:val="00C747A0"/>
    <w:rsid w:val="00C74B99"/>
    <w:rsid w:val="00C77270"/>
    <w:rsid w:val="00C81133"/>
    <w:rsid w:val="00C85EC1"/>
    <w:rsid w:val="00C87CC4"/>
    <w:rsid w:val="00C91FA9"/>
    <w:rsid w:val="00C94667"/>
    <w:rsid w:val="00C96669"/>
    <w:rsid w:val="00C9673E"/>
    <w:rsid w:val="00CA62A5"/>
    <w:rsid w:val="00CA6D57"/>
    <w:rsid w:val="00CB032D"/>
    <w:rsid w:val="00CB1ED6"/>
    <w:rsid w:val="00CB605A"/>
    <w:rsid w:val="00CC0858"/>
    <w:rsid w:val="00CC1C6D"/>
    <w:rsid w:val="00CC4DC4"/>
    <w:rsid w:val="00CC6E73"/>
    <w:rsid w:val="00CC718C"/>
    <w:rsid w:val="00CE1DE8"/>
    <w:rsid w:val="00CE3100"/>
    <w:rsid w:val="00CE3ABE"/>
    <w:rsid w:val="00CE41C1"/>
    <w:rsid w:val="00CE431E"/>
    <w:rsid w:val="00CE4E51"/>
    <w:rsid w:val="00CE4EF3"/>
    <w:rsid w:val="00CE57C5"/>
    <w:rsid w:val="00CE5CAB"/>
    <w:rsid w:val="00CE7E91"/>
    <w:rsid w:val="00CF2198"/>
    <w:rsid w:val="00CF2BA0"/>
    <w:rsid w:val="00CF51E7"/>
    <w:rsid w:val="00CF560A"/>
    <w:rsid w:val="00D044D9"/>
    <w:rsid w:val="00D07A14"/>
    <w:rsid w:val="00D108DA"/>
    <w:rsid w:val="00D141F1"/>
    <w:rsid w:val="00D14BC0"/>
    <w:rsid w:val="00D1693C"/>
    <w:rsid w:val="00D20BC0"/>
    <w:rsid w:val="00D22C96"/>
    <w:rsid w:val="00D237A1"/>
    <w:rsid w:val="00D2661B"/>
    <w:rsid w:val="00D31B00"/>
    <w:rsid w:val="00D325D5"/>
    <w:rsid w:val="00D3565B"/>
    <w:rsid w:val="00D37AC2"/>
    <w:rsid w:val="00D37C09"/>
    <w:rsid w:val="00D401E0"/>
    <w:rsid w:val="00D403D1"/>
    <w:rsid w:val="00D403E9"/>
    <w:rsid w:val="00D41D4A"/>
    <w:rsid w:val="00D421D5"/>
    <w:rsid w:val="00D452ED"/>
    <w:rsid w:val="00D51E30"/>
    <w:rsid w:val="00D52F16"/>
    <w:rsid w:val="00D53905"/>
    <w:rsid w:val="00D53994"/>
    <w:rsid w:val="00D5721A"/>
    <w:rsid w:val="00D600D7"/>
    <w:rsid w:val="00D638D0"/>
    <w:rsid w:val="00D65188"/>
    <w:rsid w:val="00D665E0"/>
    <w:rsid w:val="00D66937"/>
    <w:rsid w:val="00D71198"/>
    <w:rsid w:val="00D71E9A"/>
    <w:rsid w:val="00D73757"/>
    <w:rsid w:val="00D83217"/>
    <w:rsid w:val="00D874C6"/>
    <w:rsid w:val="00D87EE4"/>
    <w:rsid w:val="00D917E6"/>
    <w:rsid w:val="00D9228F"/>
    <w:rsid w:val="00D9240B"/>
    <w:rsid w:val="00D93165"/>
    <w:rsid w:val="00D93485"/>
    <w:rsid w:val="00D934C3"/>
    <w:rsid w:val="00D963A5"/>
    <w:rsid w:val="00D97C4B"/>
    <w:rsid w:val="00DA0F3B"/>
    <w:rsid w:val="00DA20BD"/>
    <w:rsid w:val="00DA444C"/>
    <w:rsid w:val="00DA595F"/>
    <w:rsid w:val="00DA6713"/>
    <w:rsid w:val="00DA687D"/>
    <w:rsid w:val="00DB57D2"/>
    <w:rsid w:val="00DB624F"/>
    <w:rsid w:val="00DC0584"/>
    <w:rsid w:val="00DC07D8"/>
    <w:rsid w:val="00DC0FD9"/>
    <w:rsid w:val="00DC2DB6"/>
    <w:rsid w:val="00DC40AF"/>
    <w:rsid w:val="00DD0D1C"/>
    <w:rsid w:val="00DD265C"/>
    <w:rsid w:val="00DD34EE"/>
    <w:rsid w:val="00DD58D8"/>
    <w:rsid w:val="00DD745F"/>
    <w:rsid w:val="00DE0912"/>
    <w:rsid w:val="00DE101C"/>
    <w:rsid w:val="00DE2AFB"/>
    <w:rsid w:val="00DE2E80"/>
    <w:rsid w:val="00DE43CF"/>
    <w:rsid w:val="00DE7CC5"/>
    <w:rsid w:val="00DF1D1F"/>
    <w:rsid w:val="00DF26FD"/>
    <w:rsid w:val="00DF6B42"/>
    <w:rsid w:val="00DF72E9"/>
    <w:rsid w:val="00E0211D"/>
    <w:rsid w:val="00E02187"/>
    <w:rsid w:val="00E02F1B"/>
    <w:rsid w:val="00E03388"/>
    <w:rsid w:val="00E128AE"/>
    <w:rsid w:val="00E1473D"/>
    <w:rsid w:val="00E16995"/>
    <w:rsid w:val="00E206EF"/>
    <w:rsid w:val="00E20855"/>
    <w:rsid w:val="00E21FB9"/>
    <w:rsid w:val="00E23AD6"/>
    <w:rsid w:val="00E272B7"/>
    <w:rsid w:val="00E32CF5"/>
    <w:rsid w:val="00E40C9F"/>
    <w:rsid w:val="00E42BC4"/>
    <w:rsid w:val="00E47F1F"/>
    <w:rsid w:val="00E504D9"/>
    <w:rsid w:val="00E52776"/>
    <w:rsid w:val="00E555C5"/>
    <w:rsid w:val="00E612C8"/>
    <w:rsid w:val="00E63BDB"/>
    <w:rsid w:val="00E63E04"/>
    <w:rsid w:val="00E65E3C"/>
    <w:rsid w:val="00E668F8"/>
    <w:rsid w:val="00E67A57"/>
    <w:rsid w:val="00E702F2"/>
    <w:rsid w:val="00E712EB"/>
    <w:rsid w:val="00E7407D"/>
    <w:rsid w:val="00E80BE0"/>
    <w:rsid w:val="00E81B37"/>
    <w:rsid w:val="00E84E8D"/>
    <w:rsid w:val="00E8503B"/>
    <w:rsid w:val="00E86722"/>
    <w:rsid w:val="00E87B7E"/>
    <w:rsid w:val="00E94E68"/>
    <w:rsid w:val="00E955CF"/>
    <w:rsid w:val="00E95AFA"/>
    <w:rsid w:val="00E967E3"/>
    <w:rsid w:val="00EA00D4"/>
    <w:rsid w:val="00EA3E90"/>
    <w:rsid w:val="00EA44F6"/>
    <w:rsid w:val="00EA4998"/>
    <w:rsid w:val="00EA536D"/>
    <w:rsid w:val="00EB0880"/>
    <w:rsid w:val="00EB34E5"/>
    <w:rsid w:val="00EB3E1E"/>
    <w:rsid w:val="00EB75F1"/>
    <w:rsid w:val="00EC06BC"/>
    <w:rsid w:val="00EC1B37"/>
    <w:rsid w:val="00EC21AB"/>
    <w:rsid w:val="00EC249E"/>
    <w:rsid w:val="00EC29EE"/>
    <w:rsid w:val="00EC7F6C"/>
    <w:rsid w:val="00ED5480"/>
    <w:rsid w:val="00EF124D"/>
    <w:rsid w:val="00EF270A"/>
    <w:rsid w:val="00EF4DBE"/>
    <w:rsid w:val="00EF513C"/>
    <w:rsid w:val="00EF5D64"/>
    <w:rsid w:val="00EF7823"/>
    <w:rsid w:val="00EF7D66"/>
    <w:rsid w:val="00F03503"/>
    <w:rsid w:val="00F04D60"/>
    <w:rsid w:val="00F072FD"/>
    <w:rsid w:val="00F07A58"/>
    <w:rsid w:val="00F12604"/>
    <w:rsid w:val="00F130BF"/>
    <w:rsid w:val="00F15C27"/>
    <w:rsid w:val="00F17482"/>
    <w:rsid w:val="00F21920"/>
    <w:rsid w:val="00F21DD5"/>
    <w:rsid w:val="00F21F4C"/>
    <w:rsid w:val="00F2330E"/>
    <w:rsid w:val="00F245EC"/>
    <w:rsid w:val="00F24947"/>
    <w:rsid w:val="00F250DE"/>
    <w:rsid w:val="00F275D8"/>
    <w:rsid w:val="00F31B0E"/>
    <w:rsid w:val="00F33C5B"/>
    <w:rsid w:val="00F374F0"/>
    <w:rsid w:val="00F4262C"/>
    <w:rsid w:val="00F44FBC"/>
    <w:rsid w:val="00F51049"/>
    <w:rsid w:val="00F53486"/>
    <w:rsid w:val="00F5452F"/>
    <w:rsid w:val="00F55599"/>
    <w:rsid w:val="00F56A86"/>
    <w:rsid w:val="00F57939"/>
    <w:rsid w:val="00F61A3B"/>
    <w:rsid w:val="00F62707"/>
    <w:rsid w:val="00F65DDF"/>
    <w:rsid w:val="00F663B1"/>
    <w:rsid w:val="00F73120"/>
    <w:rsid w:val="00F732AB"/>
    <w:rsid w:val="00F739E8"/>
    <w:rsid w:val="00F7432D"/>
    <w:rsid w:val="00F77267"/>
    <w:rsid w:val="00F778DC"/>
    <w:rsid w:val="00F84FCC"/>
    <w:rsid w:val="00F861ED"/>
    <w:rsid w:val="00F87A85"/>
    <w:rsid w:val="00F9299C"/>
    <w:rsid w:val="00F94C7D"/>
    <w:rsid w:val="00FA2228"/>
    <w:rsid w:val="00FA68ED"/>
    <w:rsid w:val="00FA7E0E"/>
    <w:rsid w:val="00FB0295"/>
    <w:rsid w:val="00FB077D"/>
    <w:rsid w:val="00FB36BE"/>
    <w:rsid w:val="00FB4311"/>
    <w:rsid w:val="00FC1890"/>
    <w:rsid w:val="00FD00ED"/>
    <w:rsid w:val="00FD3E1C"/>
    <w:rsid w:val="00FD41F0"/>
    <w:rsid w:val="00FD65B0"/>
    <w:rsid w:val="00FE0238"/>
    <w:rsid w:val="00FE30CD"/>
    <w:rsid w:val="00FE5240"/>
    <w:rsid w:val="00FF6BD3"/>
    <w:rsid w:val="00FF730C"/>
    <w:rsid w:val="00FF7DE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84FB0"/>
  <w15:chartTrackingRefBased/>
  <w15:docId w15:val="{6ABC1031-E4AF-4E4A-BF36-BB7D1FD4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4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4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4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4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4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4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4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4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4DF"/>
    <w:rPr>
      <w:rFonts w:eastAsiaTheme="majorEastAsia" w:cstheme="majorBidi"/>
      <w:color w:val="272727" w:themeColor="text1" w:themeTint="D8"/>
    </w:rPr>
  </w:style>
  <w:style w:type="paragraph" w:styleId="Title">
    <w:name w:val="Title"/>
    <w:basedOn w:val="Normal"/>
    <w:next w:val="Normal"/>
    <w:link w:val="TitleChar"/>
    <w:uiPriority w:val="10"/>
    <w:qFormat/>
    <w:rsid w:val="00B33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4DF"/>
    <w:pPr>
      <w:spacing w:before="160"/>
      <w:jc w:val="center"/>
    </w:pPr>
    <w:rPr>
      <w:i/>
      <w:iCs/>
      <w:color w:val="404040" w:themeColor="text1" w:themeTint="BF"/>
    </w:rPr>
  </w:style>
  <w:style w:type="character" w:customStyle="1" w:styleId="QuoteChar">
    <w:name w:val="Quote Char"/>
    <w:basedOn w:val="DefaultParagraphFont"/>
    <w:link w:val="Quote"/>
    <w:uiPriority w:val="29"/>
    <w:rsid w:val="00B334DF"/>
    <w:rPr>
      <w:i/>
      <w:iCs/>
      <w:color w:val="404040" w:themeColor="text1" w:themeTint="BF"/>
    </w:rPr>
  </w:style>
  <w:style w:type="paragraph" w:styleId="ListParagraph">
    <w:name w:val="List Paragraph"/>
    <w:basedOn w:val="Normal"/>
    <w:uiPriority w:val="34"/>
    <w:qFormat/>
    <w:rsid w:val="00B334DF"/>
    <w:pPr>
      <w:ind w:left="720"/>
      <w:contextualSpacing/>
    </w:pPr>
  </w:style>
  <w:style w:type="character" w:styleId="IntenseEmphasis">
    <w:name w:val="Intense Emphasis"/>
    <w:basedOn w:val="DefaultParagraphFont"/>
    <w:uiPriority w:val="21"/>
    <w:qFormat/>
    <w:rsid w:val="00B334DF"/>
    <w:rPr>
      <w:i/>
      <w:iCs/>
      <w:color w:val="0F4761" w:themeColor="accent1" w:themeShade="BF"/>
    </w:rPr>
  </w:style>
  <w:style w:type="paragraph" w:styleId="IntenseQuote">
    <w:name w:val="Intense Quote"/>
    <w:basedOn w:val="Normal"/>
    <w:next w:val="Normal"/>
    <w:link w:val="IntenseQuoteChar"/>
    <w:uiPriority w:val="30"/>
    <w:qFormat/>
    <w:rsid w:val="00B33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4DF"/>
    <w:rPr>
      <w:i/>
      <w:iCs/>
      <w:color w:val="0F4761" w:themeColor="accent1" w:themeShade="BF"/>
    </w:rPr>
  </w:style>
  <w:style w:type="character" w:styleId="IntenseReference">
    <w:name w:val="Intense Reference"/>
    <w:basedOn w:val="DefaultParagraphFont"/>
    <w:uiPriority w:val="32"/>
    <w:qFormat/>
    <w:rsid w:val="00B334DF"/>
    <w:rPr>
      <w:b/>
      <w:bCs/>
      <w:smallCaps/>
      <w:color w:val="0F4761" w:themeColor="accent1" w:themeShade="BF"/>
      <w:spacing w:val="5"/>
    </w:rPr>
  </w:style>
  <w:style w:type="paragraph" w:styleId="NormalWeb">
    <w:name w:val="Normal (Web)"/>
    <w:basedOn w:val="Normal"/>
    <w:uiPriority w:val="99"/>
    <w:semiHidden/>
    <w:unhideWhenUsed/>
    <w:rsid w:val="00AD50FC"/>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EA3E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3E90"/>
  </w:style>
  <w:style w:type="paragraph" w:styleId="Footer">
    <w:name w:val="footer"/>
    <w:basedOn w:val="Normal"/>
    <w:link w:val="FooterChar"/>
    <w:uiPriority w:val="99"/>
    <w:unhideWhenUsed/>
    <w:rsid w:val="00EA3E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3E90"/>
  </w:style>
  <w:style w:type="paragraph" w:customStyle="1" w:styleId="FCsubtitle">
    <w:name w:val="FC sub title"/>
    <w:basedOn w:val="Normal"/>
    <w:qFormat/>
    <w:rsid w:val="005965D1"/>
    <w:pPr>
      <w:spacing w:after="120" w:line="240" w:lineRule="auto"/>
    </w:pPr>
    <w:rPr>
      <w:rFonts w:eastAsiaTheme="minorHAnsi"/>
      <w:color w:val="FFFFFF" w:themeColor="background1"/>
      <w:kern w:val="0"/>
      <w:sz w:val="28"/>
      <w:szCs w:val="20"/>
      <w:shd w:val="clear" w:color="auto" w:fill="C5192D"/>
      <w:lang w:val="en-GB" w:eastAsia="en-US"/>
      <w14:ligatures w14:val="none"/>
    </w:rPr>
  </w:style>
  <w:style w:type="character" w:styleId="CommentReference">
    <w:name w:val="annotation reference"/>
    <w:basedOn w:val="DefaultParagraphFont"/>
    <w:uiPriority w:val="99"/>
    <w:semiHidden/>
    <w:unhideWhenUsed/>
    <w:rsid w:val="005D12FF"/>
    <w:rPr>
      <w:sz w:val="16"/>
      <w:szCs w:val="16"/>
    </w:rPr>
  </w:style>
  <w:style w:type="paragraph" w:styleId="CommentText">
    <w:name w:val="annotation text"/>
    <w:basedOn w:val="Normal"/>
    <w:link w:val="CommentTextChar"/>
    <w:uiPriority w:val="99"/>
    <w:unhideWhenUsed/>
    <w:rsid w:val="005D12FF"/>
    <w:pPr>
      <w:spacing w:line="240" w:lineRule="auto"/>
    </w:pPr>
    <w:rPr>
      <w:sz w:val="20"/>
      <w:szCs w:val="20"/>
    </w:rPr>
  </w:style>
  <w:style w:type="character" w:customStyle="1" w:styleId="CommentTextChar">
    <w:name w:val="Comment Text Char"/>
    <w:basedOn w:val="DefaultParagraphFont"/>
    <w:link w:val="CommentText"/>
    <w:uiPriority w:val="99"/>
    <w:rsid w:val="005D12FF"/>
    <w:rPr>
      <w:sz w:val="20"/>
      <w:szCs w:val="20"/>
    </w:rPr>
  </w:style>
  <w:style w:type="paragraph" w:styleId="CommentSubject">
    <w:name w:val="annotation subject"/>
    <w:basedOn w:val="CommentText"/>
    <w:next w:val="CommentText"/>
    <w:link w:val="CommentSubjectChar"/>
    <w:uiPriority w:val="99"/>
    <w:semiHidden/>
    <w:unhideWhenUsed/>
    <w:rsid w:val="005D12FF"/>
    <w:rPr>
      <w:b/>
      <w:bCs/>
    </w:rPr>
  </w:style>
  <w:style w:type="character" w:customStyle="1" w:styleId="CommentSubjectChar">
    <w:name w:val="Comment Subject Char"/>
    <w:basedOn w:val="CommentTextChar"/>
    <w:link w:val="CommentSubject"/>
    <w:uiPriority w:val="99"/>
    <w:semiHidden/>
    <w:rsid w:val="005D12FF"/>
    <w:rPr>
      <w:b/>
      <w:bCs/>
      <w:sz w:val="20"/>
      <w:szCs w:val="20"/>
    </w:rPr>
  </w:style>
  <w:style w:type="paragraph" w:customStyle="1" w:styleId="Marge">
    <w:name w:val="Marge"/>
    <w:basedOn w:val="Normal"/>
    <w:rsid w:val="00740DF7"/>
    <w:pPr>
      <w:tabs>
        <w:tab w:val="left" w:pos="567"/>
      </w:tabs>
      <w:snapToGrid w:val="0"/>
      <w:spacing w:after="240" w:line="240" w:lineRule="auto"/>
      <w:jc w:val="both"/>
    </w:pPr>
    <w:rPr>
      <w:rFonts w:ascii="Arial" w:eastAsia="Times New Roman" w:hAnsi="Arial" w:cs="Times New Roman"/>
      <w:snapToGrid w:val="0"/>
      <w:kern w:val="0"/>
      <w:sz w:val="22"/>
      <w:lang w:eastAsia="en-US"/>
      <w14:ligatures w14:val="none"/>
    </w:rPr>
  </w:style>
  <w:style w:type="character" w:styleId="Hyperlink">
    <w:name w:val="Hyperlink"/>
    <w:rsid w:val="00740DF7"/>
    <w:rPr>
      <w:color w:val="0000FF"/>
      <w:u w:val="single"/>
    </w:rPr>
  </w:style>
  <w:style w:type="paragraph" w:styleId="FootnoteText">
    <w:name w:val="footnote text"/>
    <w:aliases w:val="Fußnote,Footnote Text Char Char,single space,FOOTNOTES,fn,Footnote,Char1 Char,Footnote Char1,stile 1,Footnote1,Footnote2,Footnote3,Footnote4,Footnote5,Footnote6,Footnote7,Footnote8,Footnote9,Footnote Text Char1"/>
    <w:basedOn w:val="Normal"/>
    <w:link w:val="FootnoteTextChar"/>
    <w:uiPriority w:val="99"/>
    <w:unhideWhenUsed/>
    <w:rsid w:val="00FB0295"/>
    <w:pPr>
      <w:spacing w:after="0" w:line="240" w:lineRule="auto"/>
    </w:pPr>
    <w:rPr>
      <w:sz w:val="20"/>
      <w:szCs w:val="20"/>
    </w:rPr>
  </w:style>
  <w:style w:type="character" w:customStyle="1" w:styleId="FootnoteTextChar">
    <w:name w:val="Footnote Text Char"/>
    <w:aliases w:val="Fußnote Char,Footnote Text Char Char Char,single space Char,FOOTNOTES Char,fn Char,Footnote Char,Char1 Char Char,Footnote Char1 Char,stile 1 Char,Footnote1 Char,Footnote2 Char,Footnote3 Char,Footnote4 Char,Footnote5 Char"/>
    <w:basedOn w:val="DefaultParagraphFont"/>
    <w:link w:val="FootnoteText"/>
    <w:uiPriority w:val="99"/>
    <w:rsid w:val="00FB0295"/>
    <w:rPr>
      <w:sz w:val="20"/>
      <w:szCs w:val="20"/>
    </w:rPr>
  </w:style>
  <w:style w:type="character" w:styleId="FootnoteReference">
    <w:name w:val="footnote reference"/>
    <w:basedOn w:val="DefaultParagraphFont"/>
    <w:uiPriority w:val="99"/>
    <w:semiHidden/>
    <w:unhideWhenUsed/>
    <w:rsid w:val="00FB0295"/>
    <w:rPr>
      <w:vertAlign w:val="superscript"/>
    </w:rPr>
  </w:style>
  <w:style w:type="character" w:styleId="UnresolvedMention">
    <w:name w:val="Unresolved Mention"/>
    <w:basedOn w:val="DefaultParagraphFont"/>
    <w:uiPriority w:val="99"/>
    <w:semiHidden/>
    <w:unhideWhenUsed/>
    <w:rsid w:val="00611676"/>
    <w:rPr>
      <w:color w:val="605E5C"/>
      <w:shd w:val="clear" w:color="auto" w:fill="E1DFDD"/>
    </w:rPr>
  </w:style>
  <w:style w:type="table" w:styleId="TableGrid">
    <w:name w:val="Table Grid"/>
    <w:basedOn w:val="TableNormal"/>
    <w:uiPriority w:val="39"/>
    <w:rsid w:val="00624991"/>
    <w:pPr>
      <w:spacing w:after="0" w:line="240" w:lineRule="auto"/>
    </w:pPr>
    <w:rPr>
      <w:rFonts w:eastAsiaTheme="minorHAnsi"/>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1C7E"/>
    <w:pPr>
      <w:spacing w:after="0" w:line="240" w:lineRule="auto"/>
    </w:pPr>
  </w:style>
  <w:style w:type="paragraph" w:customStyle="1" w:styleId="paragraph">
    <w:name w:val="paragraph"/>
    <w:basedOn w:val="Normal"/>
    <w:rsid w:val="00B41C7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41C7E"/>
  </w:style>
  <w:style w:type="character" w:customStyle="1" w:styleId="eop">
    <w:name w:val="eop"/>
    <w:basedOn w:val="DefaultParagraphFont"/>
    <w:rsid w:val="00B41C7E"/>
  </w:style>
  <w:style w:type="table" w:styleId="GridTable4-Accent3">
    <w:name w:val="Grid Table 4 Accent 3"/>
    <w:basedOn w:val="TableNormal"/>
    <w:uiPriority w:val="49"/>
    <w:rsid w:val="00C610D9"/>
    <w:pPr>
      <w:spacing w:after="0" w:line="240" w:lineRule="auto"/>
    </w:pPr>
    <w:rPr>
      <w:rFonts w:eastAsiaTheme="minorHAnsi"/>
      <w:kern w:val="0"/>
      <w:sz w:val="22"/>
      <w:szCs w:val="22"/>
      <w:lang w:val="en-US" w:eastAsia="en-US"/>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eGridLight">
    <w:name w:val="Grid Table Light"/>
    <w:basedOn w:val="TableNormal"/>
    <w:uiPriority w:val="40"/>
    <w:rsid w:val="00C61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133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338D"/>
    <w:rPr>
      <w:sz w:val="20"/>
      <w:szCs w:val="20"/>
    </w:rPr>
  </w:style>
  <w:style w:type="character" w:styleId="EndnoteReference">
    <w:name w:val="endnote reference"/>
    <w:basedOn w:val="DefaultParagraphFont"/>
    <w:uiPriority w:val="99"/>
    <w:semiHidden/>
    <w:unhideWhenUsed/>
    <w:rsid w:val="0071338D"/>
    <w:rPr>
      <w:vertAlign w:val="superscript"/>
    </w:rPr>
  </w:style>
  <w:style w:type="table" w:styleId="GridTable5Dark-Accent3">
    <w:name w:val="Grid Table 5 Dark Accent 3"/>
    <w:basedOn w:val="TableNormal"/>
    <w:uiPriority w:val="50"/>
    <w:rsid w:val="00EF4DBE"/>
    <w:pPr>
      <w:spacing w:after="0" w:line="240" w:lineRule="auto"/>
    </w:pPr>
    <w:rPr>
      <w:rFonts w:eastAsiaTheme="minorHAnsi"/>
      <w:kern w:val="0"/>
      <w:sz w:val="22"/>
      <w:szCs w:val="22"/>
      <w:lang w:val="en-US"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7238">
      <w:bodyDiv w:val="1"/>
      <w:marLeft w:val="0"/>
      <w:marRight w:val="0"/>
      <w:marTop w:val="0"/>
      <w:marBottom w:val="0"/>
      <w:divBdr>
        <w:top w:val="none" w:sz="0" w:space="0" w:color="auto"/>
        <w:left w:val="none" w:sz="0" w:space="0" w:color="auto"/>
        <w:bottom w:val="none" w:sz="0" w:space="0" w:color="auto"/>
        <w:right w:val="none" w:sz="0" w:space="0" w:color="auto"/>
      </w:divBdr>
    </w:div>
    <w:div w:id="982782386">
      <w:bodyDiv w:val="1"/>
      <w:marLeft w:val="0"/>
      <w:marRight w:val="0"/>
      <w:marTop w:val="0"/>
      <w:marBottom w:val="0"/>
      <w:divBdr>
        <w:top w:val="none" w:sz="0" w:space="0" w:color="auto"/>
        <w:left w:val="none" w:sz="0" w:space="0" w:color="auto"/>
        <w:bottom w:val="none" w:sz="0" w:space="0" w:color="auto"/>
        <w:right w:val="none" w:sz="0" w:space="0" w:color="auto"/>
      </w:divBdr>
    </w:div>
    <w:div w:id="16350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esco.org/en/multi-donor-programme-freedom-expression-and-safety-journalists" TargetMode="External"/><Relationship Id="rId18" Type="http://schemas.openxmlformats.org/officeDocument/2006/relationships/hyperlink" Target="https://main.un.org/securitycouncil/en/content/un-sc-consolidated-list" TargetMode="External"/><Relationship Id="rId26" Type="http://schemas.openxmlformats.org/officeDocument/2006/relationships/hyperlink" Target="https://unesdoc.unesco.org/ark:/48223/pf0000383337"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nesco.org/en/africa" TargetMode="External"/><Relationship Id="rId34"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s://www.unesco.org/sites/default/files/medias/fichiers/2024/07/Global%20Media%20Defence%20Fund%20report%20%282020-2024%29.pdf?hub=67808" TargetMode="External"/><Relationship Id="rId17" Type="http://schemas.openxmlformats.org/officeDocument/2006/relationships/hyperlink" Target="https://unesco.sharepoint.com/sites/ADM-Manual/SupportingDocumentsEn/Basic_Texts_2018.pdf" TargetMode="External"/><Relationship Id="rId25" Type="http://schemas.openxmlformats.org/officeDocument/2006/relationships/hyperlink" Target="https://www.unesco.org/en/indigenous-peoples" TargetMode="External"/><Relationship Id="rId33" Type="http://schemas.openxmlformats.org/officeDocument/2006/relationships/diagramLayout" Target="diagrams/layout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mdf@unesco.org" TargetMode="External"/><Relationship Id="rId20" Type="http://schemas.openxmlformats.org/officeDocument/2006/relationships/hyperlink" Target="https://www.unesco.org/en/multi-donor-programme-freedom-expression-and-safety-journalists" TargetMode="External"/><Relationship Id="rId29" Type="http://schemas.openxmlformats.org/officeDocument/2006/relationships/hyperlink" Target="https://unesdoc.unesco.org/ark:/48223/pf00003772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sco.org/en/global-media-defence-fund?hub=67808" TargetMode="External"/><Relationship Id="rId24" Type="http://schemas.openxmlformats.org/officeDocument/2006/relationships/hyperlink" Target="https://www.unesco.org/en/sids" TargetMode="External"/><Relationship Id="rId32" Type="http://schemas.openxmlformats.org/officeDocument/2006/relationships/diagramData" Target="diagrams/data1.xml"/><Relationship Id="rId37" Type="http://schemas.openxmlformats.org/officeDocument/2006/relationships/hyperlink" Target="mailto:gmdf@unesco.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esdoc.unesco.org/ark:/48223/pf0000389501" TargetMode="External"/><Relationship Id="rId23" Type="http://schemas.openxmlformats.org/officeDocument/2006/relationships/hyperlink" Target="https://www.unesco.org/en/ldcs" TargetMode="External"/><Relationship Id="rId28" Type="http://schemas.openxmlformats.org/officeDocument/2006/relationships/hyperlink" Target="https://unesdoc.unesco.org/ark:/48223/pf0000383921?posInSet=1&amp;queryId=5cef0198-03e9-440a-b1f9-70d2fdba690f" TargetMode="External"/><Relationship Id="rId36" Type="http://schemas.microsoft.com/office/2007/relationships/diagramDrawing" Target="diagrams/drawing1.xml"/><Relationship Id="rId10" Type="http://schemas.openxmlformats.org/officeDocument/2006/relationships/hyperlink" Target="https://unesdoc.unesco.org/ark:/48223/pf0000384828?posInSet=5&amp;queryId=e5f6ce81-6447-4acc-992c-bd78ff30a68b" TargetMode="External"/><Relationship Id="rId19" Type="http://schemas.openxmlformats.org/officeDocument/2006/relationships/hyperlink" Target="https://www.unesco.org/en/international-programme-development-communication" TargetMode="External"/><Relationship Id="rId31" Type="http://schemas.openxmlformats.org/officeDocument/2006/relationships/hyperlink" Target="https://treasury.un.org/operationalrates/OperationalRates.php" TargetMode="External"/><Relationship Id="rId4" Type="http://schemas.openxmlformats.org/officeDocument/2006/relationships/settings" Target="settings.xml"/><Relationship Id="rId9" Type="http://schemas.openxmlformats.org/officeDocument/2006/relationships/hyperlink" Target="https://www.unesco.org/en/safety-journalists/un-plan-action" TargetMode="External"/><Relationship Id="rId14" Type="http://schemas.openxmlformats.org/officeDocument/2006/relationships/hyperlink" Target="https://www.unesco.org/fr/international-programme-development-communication" TargetMode="External"/><Relationship Id="rId22" Type="http://schemas.openxmlformats.org/officeDocument/2006/relationships/hyperlink" Target="https://www.unesco.org/en/gender-equality" TargetMode="External"/><Relationship Id="rId27" Type="http://schemas.openxmlformats.org/officeDocument/2006/relationships/hyperlink" Target="https://www.unesco.org/en/world-media-trends/issue-briefs" TargetMode="External"/><Relationship Id="rId30" Type="http://schemas.openxmlformats.org/officeDocument/2006/relationships/hyperlink" Target="https://unesdoc.unesco.org/ark:/48223/pf0000382049"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A6E338-1875-47DB-AD93-E51A94F79C92}" type="doc">
      <dgm:prSet loTypeId="urn:microsoft.com/office/officeart/2005/8/layout/hChevron3" loCatId="process" qsTypeId="urn:microsoft.com/office/officeart/2005/8/quickstyle/simple1" qsCatId="simple" csTypeId="urn:microsoft.com/office/officeart/2005/8/colors/accent5_3" csCatId="accent5" phldr="1"/>
      <dgm:spPr/>
    </dgm:pt>
    <dgm:pt modelId="{201758B1-56E5-4DB8-A2CD-E70A4E625A5E}">
      <dgm:prSet phldrT="[Text]" custT="1"/>
      <dgm:spPr/>
      <dgm:t>
        <a:bodyPr/>
        <a:lstStyle/>
        <a:p>
          <a:r>
            <a:rPr lang="en-US" sz="1100" b="1"/>
            <a:t>Admisibility and Eligibility Check</a:t>
          </a:r>
        </a:p>
      </dgm:t>
    </dgm:pt>
    <dgm:pt modelId="{5FE74163-9BF4-4C2F-A991-1D8462D24420}" type="parTrans" cxnId="{6BFE98BA-7835-4853-BD53-AE2FC16A1690}">
      <dgm:prSet/>
      <dgm:spPr/>
      <dgm:t>
        <a:bodyPr/>
        <a:lstStyle/>
        <a:p>
          <a:endParaRPr lang="en-US"/>
        </a:p>
      </dgm:t>
    </dgm:pt>
    <dgm:pt modelId="{DA7A1F4A-2460-4004-8804-9BE4732DCEB5}" type="sibTrans" cxnId="{6BFE98BA-7835-4853-BD53-AE2FC16A1690}">
      <dgm:prSet/>
      <dgm:spPr/>
      <dgm:t>
        <a:bodyPr/>
        <a:lstStyle/>
        <a:p>
          <a:endParaRPr lang="en-US"/>
        </a:p>
      </dgm:t>
    </dgm:pt>
    <dgm:pt modelId="{21676D7F-5BE3-4491-B475-5B8F3F262FD2}">
      <dgm:prSet phldrT="[Text]" custT="1"/>
      <dgm:spPr/>
      <dgm:t>
        <a:bodyPr/>
        <a:lstStyle/>
        <a:p>
          <a:r>
            <a:rPr lang="en-US" sz="1100" b="1"/>
            <a:t>Assessment &amp; Selection of Proposals</a:t>
          </a:r>
        </a:p>
      </dgm:t>
    </dgm:pt>
    <dgm:pt modelId="{B508C91E-0E67-4707-B1AD-5E42A2D0849D}" type="parTrans" cxnId="{3338C34A-276B-40CF-8698-8FA9042155E6}">
      <dgm:prSet/>
      <dgm:spPr/>
      <dgm:t>
        <a:bodyPr/>
        <a:lstStyle/>
        <a:p>
          <a:endParaRPr lang="en-US"/>
        </a:p>
      </dgm:t>
    </dgm:pt>
    <dgm:pt modelId="{B28E9B56-E3AB-4E70-A978-5A4F829C8E7D}" type="sibTrans" cxnId="{3338C34A-276B-40CF-8698-8FA9042155E6}">
      <dgm:prSet/>
      <dgm:spPr/>
      <dgm:t>
        <a:bodyPr/>
        <a:lstStyle/>
        <a:p>
          <a:endParaRPr lang="en-US"/>
        </a:p>
      </dgm:t>
    </dgm:pt>
    <dgm:pt modelId="{F6010EE7-C06F-4137-B11F-45563B4E6012}">
      <dgm:prSet phldrT="[Text]" custT="1"/>
      <dgm:spPr/>
      <dgm:t>
        <a:bodyPr/>
        <a:lstStyle/>
        <a:p>
          <a:r>
            <a:rPr lang="en-US" sz="1100" b="1"/>
            <a:t>Streamlining &amp; Definition of ToRs </a:t>
          </a:r>
        </a:p>
      </dgm:t>
    </dgm:pt>
    <dgm:pt modelId="{D97AF13A-405F-4A11-B047-3C77656A9F33}" type="parTrans" cxnId="{8A3A7BBC-B3A5-44DB-901C-A481A2DC31DD}">
      <dgm:prSet/>
      <dgm:spPr/>
      <dgm:t>
        <a:bodyPr/>
        <a:lstStyle/>
        <a:p>
          <a:endParaRPr lang="en-US"/>
        </a:p>
      </dgm:t>
    </dgm:pt>
    <dgm:pt modelId="{E1A3AF1B-6159-4CE7-8D4A-2CF7495966B3}" type="sibTrans" cxnId="{8A3A7BBC-B3A5-44DB-901C-A481A2DC31DD}">
      <dgm:prSet/>
      <dgm:spPr/>
      <dgm:t>
        <a:bodyPr/>
        <a:lstStyle/>
        <a:p>
          <a:endParaRPr lang="en-US"/>
        </a:p>
      </dgm:t>
    </dgm:pt>
    <dgm:pt modelId="{CEDA9B5C-8DEE-445E-B2A0-49880CB51D1D}">
      <dgm:prSet custT="1"/>
      <dgm:spPr/>
      <dgm:t>
        <a:bodyPr/>
        <a:lstStyle/>
        <a:p>
          <a:r>
            <a:rPr lang="en-US" sz="1100" b="1"/>
            <a:t>Final Approval and Signature of IPA</a:t>
          </a:r>
        </a:p>
      </dgm:t>
    </dgm:pt>
    <dgm:pt modelId="{6CAF7CD1-F2C0-4891-989A-8DD725A8612D}" type="parTrans" cxnId="{44F599CE-99E0-4DA4-AEBA-F834FB719184}">
      <dgm:prSet/>
      <dgm:spPr/>
      <dgm:t>
        <a:bodyPr/>
        <a:lstStyle/>
        <a:p>
          <a:endParaRPr lang="en-US"/>
        </a:p>
      </dgm:t>
    </dgm:pt>
    <dgm:pt modelId="{A8C04D83-9587-46D9-9F57-2B73F80EBEF8}" type="sibTrans" cxnId="{44F599CE-99E0-4DA4-AEBA-F834FB719184}">
      <dgm:prSet/>
      <dgm:spPr/>
      <dgm:t>
        <a:bodyPr/>
        <a:lstStyle/>
        <a:p>
          <a:endParaRPr lang="en-US"/>
        </a:p>
      </dgm:t>
    </dgm:pt>
    <dgm:pt modelId="{11F36403-5ED8-48A0-8918-20EDA407C0C7}" type="pres">
      <dgm:prSet presAssocID="{70A6E338-1875-47DB-AD93-E51A94F79C92}" presName="Name0" presStyleCnt="0">
        <dgm:presLayoutVars>
          <dgm:dir/>
          <dgm:resizeHandles val="exact"/>
        </dgm:presLayoutVars>
      </dgm:prSet>
      <dgm:spPr/>
    </dgm:pt>
    <dgm:pt modelId="{BC69ED14-6B2C-4C09-AF0B-30B3EBD802E1}" type="pres">
      <dgm:prSet presAssocID="{201758B1-56E5-4DB8-A2CD-E70A4E625A5E}" presName="parTxOnly" presStyleLbl="node1" presStyleIdx="0" presStyleCnt="4">
        <dgm:presLayoutVars>
          <dgm:bulletEnabled val="1"/>
        </dgm:presLayoutVars>
      </dgm:prSet>
      <dgm:spPr/>
    </dgm:pt>
    <dgm:pt modelId="{308E327A-1366-4B6A-9B02-232B558BC0BA}" type="pres">
      <dgm:prSet presAssocID="{DA7A1F4A-2460-4004-8804-9BE4732DCEB5}" presName="parSpace" presStyleCnt="0"/>
      <dgm:spPr/>
    </dgm:pt>
    <dgm:pt modelId="{BF5846AA-74FE-47EA-8D64-004EF04718B0}" type="pres">
      <dgm:prSet presAssocID="{21676D7F-5BE3-4491-B475-5B8F3F262FD2}" presName="parTxOnly" presStyleLbl="node1" presStyleIdx="1" presStyleCnt="4">
        <dgm:presLayoutVars>
          <dgm:bulletEnabled val="1"/>
        </dgm:presLayoutVars>
      </dgm:prSet>
      <dgm:spPr/>
    </dgm:pt>
    <dgm:pt modelId="{0A39D585-D721-44E2-8B60-5B613274A26A}" type="pres">
      <dgm:prSet presAssocID="{B28E9B56-E3AB-4E70-A978-5A4F829C8E7D}" presName="parSpace" presStyleCnt="0"/>
      <dgm:spPr/>
    </dgm:pt>
    <dgm:pt modelId="{293BBFAC-4C2C-40B0-B93F-6B71E17DE7DF}" type="pres">
      <dgm:prSet presAssocID="{F6010EE7-C06F-4137-B11F-45563B4E6012}" presName="parTxOnly" presStyleLbl="node1" presStyleIdx="2" presStyleCnt="4">
        <dgm:presLayoutVars>
          <dgm:bulletEnabled val="1"/>
        </dgm:presLayoutVars>
      </dgm:prSet>
      <dgm:spPr/>
    </dgm:pt>
    <dgm:pt modelId="{EBEDD1F5-C355-4528-BF63-A59D8E85BEA6}" type="pres">
      <dgm:prSet presAssocID="{E1A3AF1B-6159-4CE7-8D4A-2CF7495966B3}" presName="parSpace" presStyleCnt="0"/>
      <dgm:spPr/>
    </dgm:pt>
    <dgm:pt modelId="{D7059087-0F55-45EE-A7EB-21564ED601DE}" type="pres">
      <dgm:prSet presAssocID="{CEDA9B5C-8DEE-445E-B2A0-49880CB51D1D}" presName="parTxOnly" presStyleLbl="node1" presStyleIdx="3" presStyleCnt="4">
        <dgm:presLayoutVars>
          <dgm:bulletEnabled val="1"/>
        </dgm:presLayoutVars>
      </dgm:prSet>
      <dgm:spPr/>
    </dgm:pt>
  </dgm:ptLst>
  <dgm:cxnLst>
    <dgm:cxn modelId="{4DF70126-EC72-46CA-ACF9-04949D237D32}" type="presOf" srcId="{201758B1-56E5-4DB8-A2CD-E70A4E625A5E}" destId="{BC69ED14-6B2C-4C09-AF0B-30B3EBD802E1}" srcOrd="0" destOrd="0" presId="urn:microsoft.com/office/officeart/2005/8/layout/hChevron3"/>
    <dgm:cxn modelId="{FDBA0D34-04AB-43B5-B6F6-86894068C805}" type="presOf" srcId="{F6010EE7-C06F-4137-B11F-45563B4E6012}" destId="{293BBFAC-4C2C-40B0-B93F-6B71E17DE7DF}" srcOrd="0" destOrd="0" presId="urn:microsoft.com/office/officeart/2005/8/layout/hChevron3"/>
    <dgm:cxn modelId="{73694D64-322C-4B5B-B6FA-8B0A3635A797}" type="presOf" srcId="{CEDA9B5C-8DEE-445E-B2A0-49880CB51D1D}" destId="{D7059087-0F55-45EE-A7EB-21564ED601DE}" srcOrd="0" destOrd="0" presId="urn:microsoft.com/office/officeart/2005/8/layout/hChevron3"/>
    <dgm:cxn modelId="{3338C34A-276B-40CF-8698-8FA9042155E6}" srcId="{70A6E338-1875-47DB-AD93-E51A94F79C92}" destId="{21676D7F-5BE3-4491-B475-5B8F3F262FD2}" srcOrd="1" destOrd="0" parTransId="{B508C91E-0E67-4707-B1AD-5E42A2D0849D}" sibTransId="{B28E9B56-E3AB-4E70-A978-5A4F829C8E7D}"/>
    <dgm:cxn modelId="{5B6E7694-52D0-4082-95BB-940EB0E70096}" type="presOf" srcId="{21676D7F-5BE3-4491-B475-5B8F3F262FD2}" destId="{BF5846AA-74FE-47EA-8D64-004EF04718B0}" srcOrd="0" destOrd="0" presId="urn:microsoft.com/office/officeart/2005/8/layout/hChevron3"/>
    <dgm:cxn modelId="{6BFE98BA-7835-4853-BD53-AE2FC16A1690}" srcId="{70A6E338-1875-47DB-AD93-E51A94F79C92}" destId="{201758B1-56E5-4DB8-A2CD-E70A4E625A5E}" srcOrd="0" destOrd="0" parTransId="{5FE74163-9BF4-4C2F-A991-1D8462D24420}" sibTransId="{DA7A1F4A-2460-4004-8804-9BE4732DCEB5}"/>
    <dgm:cxn modelId="{8A3A7BBC-B3A5-44DB-901C-A481A2DC31DD}" srcId="{70A6E338-1875-47DB-AD93-E51A94F79C92}" destId="{F6010EE7-C06F-4137-B11F-45563B4E6012}" srcOrd="2" destOrd="0" parTransId="{D97AF13A-405F-4A11-B047-3C77656A9F33}" sibTransId="{E1A3AF1B-6159-4CE7-8D4A-2CF7495966B3}"/>
    <dgm:cxn modelId="{44F599CE-99E0-4DA4-AEBA-F834FB719184}" srcId="{70A6E338-1875-47DB-AD93-E51A94F79C92}" destId="{CEDA9B5C-8DEE-445E-B2A0-49880CB51D1D}" srcOrd="3" destOrd="0" parTransId="{6CAF7CD1-F2C0-4891-989A-8DD725A8612D}" sibTransId="{A8C04D83-9587-46D9-9F57-2B73F80EBEF8}"/>
    <dgm:cxn modelId="{315D40EA-84E2-45FA-BBFC-EF9F9B195F02}" type="presOf" srcId="{70A6E338-1875-47DB-AD93-E51A94F79C92}" destId="{11F36403-5ED8-48A0-8918-20EDA407C0C7}" srcOrd="0" destOrd="0" presId="urn:microsoft.com/office/officeart/2005/8/layout/hChevron3"/>
    <dgm:cxn modelId="{EA31EAF0-8F49-4C51-A0BE-52276F44175E}" type="presParOf" srcId="{11F36403-5ED8-48A0-8918-20EDA407C0C7}" destId="{BC69ED14-6B2C-4C09-AF0B-30B3EBD802E1}" srcOrd="0" destOrd="0" presId="urn:microsoft.com/office/officeart/2005/8/layout/hChevron3"/>
    <dgm:cxn modelId="{0539F154-5B73-4F0D-B685-F1122C318D48}" type="presParOf" srcId="{11F36403-5ED8-48A0-8918-20EDA407C0C7}" destId="{308E327A-1366-4B6A-9B02-232B558BC0BA}" srcOrd="1" destOrd="0" presId="urn:microsoft.com/office/officeart/2005/8/layout/hChevron3"/>
    <dgm:cxn modelId="{EFF1A301-58C3-4012-8797-22FF2DFBD956}" type="presParOf" srcId="{11F36403-5ED8-48A0-8918-20EDA407C0C7}" destId="{BF5846AA-74FE-47EA-8D64-004EF04718B0}" srcOrd="2" destOrd="0" presId="urn:microsoft.com/office/officeart/2005/8/layout/hChevron3"/>
    <dgm:cxn modelId="{98EA9A9D-79B8-4435-8843-85CC4A2A3C1E}" type="presParOf" srcId="{11F36403-5ED8-48A0-8918-20EDA407C0C7}" destId="{0A39D585-D721-44E2-8B60-5B613274A26A}" srcOrd="3" destOrd="0" presId="urn:microsoft.com/office/officeart/2005/8/layout/hChevron3"/>
    <dgm:cxn modelId="{63013D58-6567-4588-ADDA-B404170EBB15}" type="presParOf" srcId="{11F36403-5ED8-48A0-8918-20EDA407C0C7}" destId="{293BBFAC-4C2C-40B0-B93F-6B71E17DE7DF}" srcOrd="4" destOrd="0" presId="urn:microsoft.com/office/officeart/2005/8/layout/hChevron3"/>
    <dgm:cxn modelId="{1D876612-9F4C-4C20-B2B3-CCBB125C4A1C}" type="presParOf" srcId="{11F36403-5ED8-48A0-8918-20EDA407C0C7}" destId="{EBEDD1F5-C355-4528-BF63-A59D8E85BEA6}" srcOrd="5" destOrd="0" presId="urn:microsoft.com/office/officeart/2005/8/layout/hChevron3"/>
    <dgm:cxn modelId="{5F3AF13E-BFBB-4D1C-84DE-03121F9FB8E6}" type="presParOf" srcId="{11F36403-5ED8-48A0-8918-20EDA407C0C7}" destId="{D7059087-0F55-45EE-A7EB-21564ED601DE}" srcOrd="6" destOrd="0" presId="urn:microsoft.com/office/officeart/2005/8/layout/hChevron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69ED14-6B2C-4C09-AF0B-30B3EBD802E1}">
      <dsp:nvSpPr>
        <dsp:cNvPr id="0" name=""/>
        <dsp:cNvSpPr/>
      </dsp:nvSpPr>
      <dsp:spPr>
        <a:xfrm>
          <a:off x="1590" y="161831"/>
          <a:ext cx="1595902" cy="638361"/>
        </a:xfrm>
        <a:prstGeom prst="homePlate">
          <a:avLst/>
        </a:prstGeom>
        <a:solidFill>
          <a:schemeClr val="accent5">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b="1" kern="1200"/>
            <a:t>Admisibility and Eligibility Check</a:t>
          </a:r>
        </a:p>
      </dsp:txBody>
      <dsp:txXfrm>
        <a:off x="1590" y="161831"/>
        <a:ext cx="1436312" cy="638361"/>
      </dsp:txXfrm>
    </dsp:sp>
    <dsp:sp modelId="{BF5846AA-74FE-47EA-8D64-004EF04718B0}">
      <dsp:nvSpPr>
        <dsp:cNvPr id="0" name=""/>
        <dsp:cNvSpPr/>
      </dsp:nvSpPr>
      <dsp:spPr>
        <a:xfrm>
          <a:off x="1278312" y="161831"/>
          <a:ext cx="1595902" cy="638361"/>
        </a:xfrm>
        <a:prstGeom prst="chevron">
          <a:avLst/>
        </a:prstGeom>
        <a:solidFill>
          <a:schemeClr val="accent5">
            <a:shade val="80000"/>
            <a:hueOff val="59891"/>
            <a:satOff val="-10762"/>
            <a:lumOff val="1079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b="1" kern="1200"/>
            <a:t>Assessment &amp; Selection of Proposals</a:t>
          </a:r>
        </a:p>
      </dsp:txBody>
      <dsp:txXfrm>
        <a:off x="1597493" y="161831"/>
        <a:ext cx="957541" cy="638361"/>
      </dsp:txXfrm>
    </dsp:sp>
    <dsp:sp modelId="{293BBFAC-4C2C-40B0-B93F-6B71E17DE7DF}">
      <dsp:nvSpPr>
        <dsp:cNvPr id="0" name=""/>
        <dsp:cNvSpPr/>
      </dsp:nvSpPr>
      <dsp:spPr>
        <a:xfrm>
          <a:off x="2555034" y="161831"/>
          <a:ext cx="1595902" cy="638361"/>
        </a:xfrm>
        <a:prstGeom prst="chevron">
          <a:avLst/>
        </a:prstGeom>
        <a:solidFill>
          <a:schemeClr val="accent5">
            <a:shade val="80000"/>
            <a:hueOff val="119783"/>
            <a:satOff val="-21524"/>
            <a:lumOff val="2159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b="1" kern="1200"/>
            <a:t>Streamlining &amp; Definition of ToRs </a:t>
          </a:r>
        </a:p>
      </dsp:txBody>
      <dsp:txXfrm>
        <a:off x="2874215" y="161831"/>
        <a:ext cx="957541" cy="638361"/>
      </dsp:txXfrm>
    </dsp:sp>
    <dsp:sp modelId="{D7059087-0F55-45EE-A7EB-21564ED601DE}">
      <dsp:nvSpPr>
        <dsp:cNvPr id="0" name=""/>
        <dsp:cNvSpPr/>
      </dsp:nvSpPr>
      <dsp:spPr>
        <a:xfrm>
          <a:off x="3831756" y="161831"/>
          <a:ext cx="1595902" cy="638361"/>
        </a:xfrm>
        <a:prstGeom prst="chevron">
          <a:avLst/>
        </a:prstGeom>
        <a:solidFill>
          <a:schemeClr val="accent5">
            <a:shade val="80000"/>
            <a:hueOff val="179674"/>
            <a:satOff val="-32286"/>
            <a:lumOff val="323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b="1" kern="1200"/>
            <a:t>Final Approval and Signature of IPA</a:t>
          </a:r>
        </a:p>
      </dsp:txBody>
      <dsp:txXfrm>
        <a:off x="4150937" y="161831"/>
        <a:ext cx="957541" cy="63836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AD70C-5BEE-4C57-9737-CC97FB25E511}">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17</TotalTime>
  <Pages>20</Pages>
  <Words>6892</Words>
  <Characters>39291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46091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Lam, Macarena</dc:creator>
  <cp:keywords/>
  <dc:description/>
  <cp:lastModifiedBy>Mandl, Nadia Anna</cp:lastModifiedBy>
  <cp:revision>10</cp:revision>
  <dcterms:created xsi:type="dcterms:W3CDTF">2024-08-12T15:18:00Z</dcterms:created>
  <dcterms:modified xsi:type="dcterms:W3CDTF">2024-09-02T08:46:00Z</dcterms:modified>
</cp:coreProperties>
</file>